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pacing w:val="20"/>
          <w:sz w:val="32"/>
          <w:szCs w:val="32"/>
          <w:lang w:val="en-US" w:eastAsia="zh-CN"/>
        </w:rPr>
        <w:t>附件1：</w:t>
      </w:r>
    </w:p>
    <w:p>
      <w:pPr>
        <w:pStyle w:val="2"/>
        <w:keepNext w:val="0"/>
        <w:keepLines w:val="0"/>
        <w:pageBreakBefore w:val="0"/>
        <w:widowControl w:val="0"/>
        <w:kinsoku/>
        <w:overflowPunct/>
        <w:topLinePunct w:val="0"/>
        <w:autoSpaceDE/>
        <w:autoSpaceDN/>
        <w:bidi w:val="0"/>
        <w:adjustRightInd/>
        <w:spacing w:line="560" w:lineRule="exact"/>
        <w:textAlignment w:val="auto"/>
        <w:rPr>
          <w:rFonts w:hint="eastAsia" w:eastAsia="宋体"/>
          <w:sz w:val="44"/>
          <w:szCs w:val="44"/>
          <w:lang w:eastAsia="zh-CN"/>
        </w:rPr>
      </w:pPr>
      <w:bookmarkStart w:id="0" w:name="nsrmc"/>
      <w:bookmarkEnd w:id="0"/>
      <w:r>
        <w:rPr>
          <w:rFonts w:hint="eastAsia"/>
          <w:sz w:val="44"/>
          <w:szCs w:val="44"/>
          <w:lang w:eastAsia="zh-CN"/>
        </w:rPr>
        <w:t>国家税务总局</w:t>
      </w:r>
      <w:r>
        <w:rPr>
          <w:rFonts w:hint="eastAsia"/>
          <w:sz w:val="44"/>
          <w:szCs w:val="44"/>
          <w:lang w:val="en-US" w:eastAsia="zh-CN"/>
        </w:rPr>
        <w:t>鄂尔多斯</w:t>
      </w:r>
      <w:r>
        <w:rPr>
          <w:rFonts w:hint="eastAsia"/>
          <w:sz w:val="44"/>
          <w:szCs w:val="44"/>
          <w:lang w:eastAsia="zh-CN"/>
        </w:rPr>
        <w:t>市税务局稽查局</w:t>
      </w:r>
    </w:p>
    <w:p>
      <w:pPr>
        <w:pStyle w:val="2"/>
        <w:keepNext w:val="0"/>
        <w:keepLines w:val="0"/>
        <w:pageBreakBefore w:val="0"/>
        <w:widowControl w:val="0"/>
        <w:kinsoku/>
        <w:overflowPunct/>
        <w:topLinePunct w:val="0"/>
        <w:autoSpaceDE/>
        <w:autoSpaceDN/>
        <w:bidi w:val="0"/>
        <w:adjustRightInd/>
        <w:spacing w:line="560" w:lineRule="exact"/>
        <w:textAlignment w:val="auto"/>
        <w:rPr>
          <w:sz w:val="52"/>
          <w:szCs w:val="52"/>
        </w:rPr>
      </w:pPr>
      <w:r>
        <w:rPr>
          <w:rFonts w:hint="eastAsia"/>
          <w:sz w:val="52"/>
          <w:szCs w:val="52"/>
        </w:rPr>
        <w:t>税务处理决定书</w:t>
      </w:r>
    </w:p>
    <w:p>
      <w:pPr>
        <w:pStyle w:val="2"/>
        <w:keepNext w:val="0"/>
        <w:keepLines w:val="0"/>
        <w:pageBreakBefore w:val="0"/>
        <w:widowControl w:val="0"/>
        <w:kinsoku/>
        <w:overflowPunct/>
        <w:topLinePunct w:val="0"/>
        <w:autoSpaceDE/>
        <w:autoSpaceDN/>
        <w:bidi w:val="0"/>
        <w:adjustRightInd/>
        <w:spacing w:line="560" w:lineRule="exact"/>
        <w:textAlignment w:val="auto"/>
        <w:rPr>
          <w:rFonts w:hint="eastAsia" w:ascii="仿宋_GB2312" w:hAnsi="仿宋" w:eastAsia="仿宋_GB2312"/>
          <w:b w:val="0"/>
          <w:highlight w:val="none"/>
          <w:lang w:eastAsia="zh-CN"/>
        </w:rPr>
      </w:pPr>
      <w:r>
        <w:rPr>
          <w:rFonts w:hint="eastAsia" w:ascii="仿宋_GB2312" w:hAnsi="仿宋" w:eastAsia="仿宋_GB2312"/>
          <w:b w:val="0"/>
          <w:highlight w:val="none"/>
          <w:lang w:eastAsia="zh-CN"/>
        </w:rPr>
        <w:t>鄂税稽处〔</w:t>
      </w:r>
      <w:r>
        <w:rPr>
          <w:rFonts w:hint="eastAsia" w:ascii="仿宋_GB2312" w:hAnsi="仿宋" w:eastAsia="仿宋_GB2312"/>
          <w:b w:val="0"/>
          <w:highlight w:val="none"/>
          <w:lang w:val="en-US" w:eastAsia="zh-CN"/>
        </w:rPr>
        <w:t>2025</w:t>
      </w:r>
      <w:r>
        <w:rPr>
          <w:rFonts w:hint="eastAsia" w:ascii="仿宋_GB2312" w:hAnsi="仿宋" w:eastAsia="仿宋_GB2312"/>
          <w:b w:val="0"/>
          <w:highlight w:val="none"/>
          <w:lang w:eastAsia="zh-CN"/>
        </w:rPr>
        <w:t>〕</w:t>
      </w:r>
      <w:r>
        <w:rPr>
          <w:rFonts w:hint="eastAsia" w:ascii="仿宋_GB2312" w:hAnsi="仿宋" w:eastAsia="仿宋_GB2312"/>
          <w:b w:val="0"/>
          <w:highlight w:val="none"/>
          <w:lang w:val="en-US" w:eastAsia="zh-CN"/>
        </w:rPr>
        <w:t>12</w:t>
      </w:r>
      <w:r>
        <w:rPr>
          <w:rFonts w:hint="eastAsia" w:ascii="仿宋_GB2312" w:hAnsi="仿宋" w:eastAsia="仿宋_GB2312"/>
          <w:b w:val="0"/>
          <w:highlight w:val="none"/>
          <w:lang w:eastAsia="zh-CN"/>
        </w:rPr>
        <w:t>号</w:t>
      </w:r>
    </w:p>
    <w:p>
      <w:pPr>
        <w:keepNext w:val="0"/>
        <w:keepLines w:val="0"/>
        <w:pageBreakBefore w:val="0"/>
        <w:widowControl w:val="0"/>
        <w:kinsoku/>
        <w:overflowPunct/>
        <w:topLinePunct w:val="0"/>
        <w:autoSpaceDE/>
        <w:autoSpaceDN/>
        <w:bidi w:val="0"/>
        <w:adjustRightInd/>
        <w:spacing w:line="560" w:lineRule="exact"/>
        <w:textAlignment w:val="auto"/>
        <w:rPr>
          <w:rFonts w:ascii="仿宋" w:hAnsi="仿宋" w:eastAsia="仿宋"/>
          <w:sz w:val="10"/>
          <w:szCs w:val="10"/>
        </w:rPr>
      </w:pPr>
    </w:p>
    <w:p>
      <w:pPr>
        <w:keepNext w:val="0"/>
        <w:keepLines w:val="0"/>
        <w:pageBreakBefore w:val="0"/>
        <w:widowControl w:val="0"/>
        <w:kinsoku/>
        <w:overflowPunct/>
        <w:topLinePunct w:val="0"/>
        <w:autoSpaceDE/>
        <w:autoSpaceDN/>
        <w:bidi w:val="0"/>
        <w:adjustRightInd/>
        <w:spacing w:line="560" w:lineRule="exact"/>
        <w:textAlignment w:val="auto"/>
        <w:rPr>
          <w:rFonts w:hint="eastAsia" w:ascii="仿宋_GB2312" w:hAnsi="仿宋" w:eastAsia="仿宋_GB2312"/>
          <w:sz w:val="32"/>
        </w:rPr>
      </w:pPr>
      <w:r>
        <w:rPr>
          <w:rFonts w:hint="eastAsia" w:ascii="仿宋_GB2312" w:hAnsi="宋体" w:eastAsia="仿宋_GB2312" w:cs="Times New Roman"/>
          <w:color w:val="auto"/>
          <w:sz w:val="32"/>
          <w:szCs w:val="32"/>
          <w:lang w:val="en-US" w:eastAsia="zh-CN"/>
        </w:rPr>
        <w:t>内蒙古谦合诚供应链管理有限公司</w:t>
      </w:r>
      <w:r>
        <w:rPr>
          <w:rFonts w:hint="eastAsia" w:ascii="仿宋_GB2312" w:hAnsi="仿宋" w:eastAsia="仿宋_GB2312"/>
          <w:sz w:val="32"/>
        </w:rPr>
        <w:t>：（纳税人识别号：</w:t>
      </w:r>
      <w:r>
        <w:rPr>
          <w:rFonts w:hint="eastAsia" w:ascii="仿宋_GB2312" w:hAnsi="仿宋_GB2312" w:eastAsia="仿宋_GB2312" w:cs="仿宋_GB2312"/>
          <w:color w:val="auto"/>
          <w:sz w:val="32"/>
          <w:szCs w:val="32"/>
          <w:lang w:val="en-US" w:eastAsia="zh-CN"/>
        </w:rPr>
        <w:t>91150602MA7GRU9Q3C</w:t>
      </w:r>
      <w:r>
        <w:rPr>
          <w:rFonts w:hint="eastAsia" w:ascii="仿宋_GB2312" w:hAnsi="仿宋" w:eastAsia="仿宋_GB2312"/>
          <w:sz w:val="32"/>
        </w:rPr>
        <w:t>）</w:t>
      </w:r>
    </w:p>
    <w:p>
      <w:pPr>
        <w:keepNext w:val="0"/>
        <w:keepLines w:val="0"/>
        <w:pageBreakBefore w:val="0"/>
        <w:widowControl w:val="0"/>
        <w:kinsoku/>
        <w:overflowPunct/>
        <w:topLinePunct w:val="0"/>
        <w:autoSpaceDE/>
        <w:autoSpaceDN/>
        <w:bidi w:val="0"/>
        <w:adjustRightInd/>
        <w:spacing w:line="560" w:lineRule="exact"/>
        <w:textAlignment w:val="auto"/>
        <w:rPr>
          <w:rFonts w:hint="eastAsia" w:ascii="仿宋_GB2312" w:hAnsi="宋体" w:eastAsia="仿宋_GB2312" w:cs="Times New Roman"/>
          <w:color w:val="auto"/>
          <w:sz w:val="32"/>
          <w:szCs w:val="32"/>
          <w:lang w:val="en-US" w:eastAsia="zh-CN"/>
        </w:rPr>
      </w:pPr>
      <w:r>
        <w:rPr>
          <w:rFonts w:hint="eastAsia" w:ascii="仿宋_GB2312" w:hAnsi="仿宋" w:eastAsia="仿宋_GB2312"/>
          <w:sz w:val="32"/>
          <w:lang w:val="en-US" w:eastAsia="zh-CN"/>
        </w:rPr>
        <w:t xml:space="preserve">   </w:t>
      </w:r>
      <w:r>
        <w:rPr>
          <w:rFonts w:hint="eastAsia" w:ascii="仿宋_GB2312" w:hAnsi="宋体" w:eastAsia="仿宋_GB2312" w:cs="Times New Roman"/>
          <w:color w:val="auto"/>
          <w:sz w:val="32"/>
          <w:szCs w:val="32"/>
          <w:lang w:val="en-US" w:eastAsia="zh-CN"/>
        </w:rPr>
        <w:t xml:space="preserve"> 我局于2025年5月9日起对你单位（地址：内蒙古自治区鄂尔多斯市东胜区达拉特北路12号街坊东楼底商3号）2022年6月1日至2023年2月28日涉税情况进行了检查，违法事实及处理决定如下：</w:t>
      </w:r>
    </w:p>
    <w:p>
      <w:pPr>
        <w:keepNext w:val="0"/>
        <w:keepLines w:val="0"/>
        <w:pageBreakBefore w:val="0"/>
        <w:widowControl w:val="0"/>
        <w:numPr>
          <w:ilvl w:val="0"/>
          <w:numId w:val="1"/>
        </w:numPr>
        <w:kinsoku/>
        <w:overflowPunct/>
        <w:topLinePunct w:val="0"/>
        <w:autoSpaceDE/>
        <w:autoSpaceDN/>
        <w:bidi w:val="0"/>
        <w:adjustRightInd/>
        <w:spacing w:line="560" w:lineRule="exact"/>
        <w:ind w:hanging="33"/>
        <w:textAlignment w:val="auto"/>
        <w:rPr>
          <w:rFonts w:ascii="黑体" w:hAnsi="华文仿宋" w:eastAsia="黑体"/>
          <w:sz w:val="32"/>
        </w:rPr>
      </w:pPr>
      <w:r>
        <w:rPr>
          <w:rFonts w:hint="eastAsia" w:ascii="黑体" w:hAnsi="华文仿宋" w:eastAsia="黑体"/>
          <w:sz w:val="32"/>
        </w:rPr>
        <w:t>违法事实</w:t>
      </w:r>
      <w:r>
        <w:rPr>
          <w:rFonts w:hint="eastAsia" w:ascii="黑体" w:hAnsi="华文仿宋" w:eastAsia="黑体"/>
          <w:sz w:val="32"/>
          <w:lang w:eastAsia="zh-CN"/>
        </w:rPr>
        <w:t>及证据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Times New Roman"/>
          <w:color w:val="auto"/>
          <w:sz w:val="32"/>
          <w:szCs w:val="32"/>
          <w:lang w:val="en-US" w:eastAsia="zh-CN"/>
        </w:rPr>
      </w:pPr>
      <w:bookmarkStart w:id="1" w:name="wfss"/>
      <w:bookmarkEnd w:id="1"/>
      <w:r>
        <w:rPr>
          <w:rFonts w:hint="eastAsia" w:ascii="仿宋_GB2312" w:hAnsi="宋体" w:eastAsia="仿宋_GB2312" w:cs="Times New Roman"/>
          <w:color w:val="auto"/>
          <w:sz w:val="32"/>
          <w:szCs w:val="32"/>
          <w:lang w:val="en-US" w:eastAsia="zh-CN"/>
        </w:rPr>
        <w:t>1.虚开发票方面发现问题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2022年6月至2023年2月，你单位取得内蒙古睿银供应链管理有限公司开具的增值税专用发票发票26份，发票代码：1500221130，发票号码：05601336、05611722、05611723、05611726、06321585、05611766、05611767、05611768、05611769、05611770、05611771、05611772、06324452、06330674、06330646、06335696、06335697、06335698；发票代码：1500214130，发票号码：04384323、04384324、04384384、04384385、04384386、04384387、04384388、04384389，金额：19,161,361.67元，税额：2,490,977.04元，价税合计：21,652,338.71元。属于让他人为自己开具与实际经营业务情况不符的发票的虚开发票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2.增值税方面发现问题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你单位上述取得内蒙古睿银供应链管理有限公司开具的增值税专用发票发票26份并认证抵扣，属于虚开发票，应作进项税额转出2,490,977.04元，应补缴增值税2,490,977.04元。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3.城市维护建设税、教育费附加、地方教育附加、水利建设基金方面发现问题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你单位上述取得内蒙古睿银供应链管理有限公司开具的增值税专用发票发票26份，属于虚开发票，作进项税额转出后，应补缴城市维护建设税87,184.22元，教育费附加37,364.66元，地方教育附加24,909.78，水利建设基金23,297.06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上述违法事实，有以下证据证实：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证据1：内蒙古谦合诚供应链管理有限公司上游企业情况说明及佐证材料，用于证明货物的真实性；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证据2：内蒙古谦合诚供应链管理有限公司下游企业情况说明及佐证材料，用于证明货物的真实性；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证据3：内蒙古谦合诚供应链管理有限公司实际控制人存款账户交易明细，用于证明存在资金回流；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证据4：公安提供的银行流水，用于证明资金回流；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证据5：杭锦旗公安经侦提供的笔录，用于证明回流资金人员属于涉案人员身份证明；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证据6：资金回流分析情况，用于证明资金回流。</w:t>
      </w:r>
    </w:p>
    <w:p>
      <w:pPr>
        <w:keepNext w:val="0"/>
        <w:keepLines w:val="0"/>
        <w:pageBreakBefore w:val="0"/>
        <w:widowControl w:val="0"/>
        <w:numPr>
          <w:ilvl w:val="0"/>
          <w:numId w:val="0"/>
        </w:numPr>
        <w:kinsoku/>
        <w:overflowPunct/>
        <w:topLinePunct w:val="0"/>
        <w:autoSpaceDE/>
        <w:autoSpaceDN/>
        <w:bidi w:val="0"/>
        <w:adjustRightInd/>
        <w:spacing w:line="560" w:lineRule="exact"/>
        <w:ind w:firstLine="640" w:firstLineChars="200"/>
        <w:textAlignment w:val="auto"/>
        <w:rPr>
          <w:rFonts w:hint="eastAsia" w:ascii="黑体" w:hAnsi="华文仿宋" w:eastAsia="黑体"/>
          <w:sz w:val="32"/>
          <w:lang w:eastAsia="zh-CN"/>
        </w:rPr>
      </w:pPr>
      <w:r>
        <w:rPr>
          <w:rFonts w:hint="eastAsia" w:ascii="黑体" w:hAnsi="华文仿宋" w:eastAsia="黑体"/>
          <w:sz w:val="32"/>
          <w:lang w:val="en-US" w:eastAsia="zh-CN"/>
        </w:rPr>
        <w:t xml:space="preserve">二、 </w:t>
      </w:r>
      <w:r>
        <w:rPr>
          <w:rFonts w:hint="eastAsia" w:ascii="黑体" w:hAnsi="华文仿宋" w:eastAsia="黑体"/>
          <w:sz w:val="32"/>
        </w:rPr>
        <w:t>处理决定</w:t>
      </w:r>
      <w:r>
        <w:rPr>
          <w:rFonts w:hint="eastAsia" w:ascii="黑体" w:hAnsi="华文仿宋" w:eastAsia="黑体"/>
          <w:sz w:val="32"/>
          <w:lang w:eastAsia="zh-CN"/>
        </w:rPr>
        <w:t>及依据</w:t>
      </w:r>
    </w:p>
    <w:p>
      <w:pPr>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eastAsia" w:ascii="仿宋_GB2312" w:hAnsi="宋体" w:eastAsia="仿宋_GB2312"/>
          <w:color w:val="auto"/>
          <w:sz w:val="32"/>
          <w:szCs w:val="32"/>
          <w:lang w:eastAsia="zh-CN"/>
        </w:rPr>
      </w:pPr>
      <w:bookmarkStart w:id="2" w:name="cljdjyj"/>
      <w:bookmarkEnd w:id="2"/>
      <w:r>
        <w:rPr>
          <w:rFonts w:hint="eastAsia" w:ascii="仿宋_GB2312" w:hAnsi="宋体" w:eastAsia="仿宋_GB2312"/>
          <w:color w:val="auto"/>
          <w:sz w:val="32"/>
          <w:szCs w:val="32"/>
        </w:rPr>
        <w:t>1.</w:t>
      </w:r>
      <w:r>
        <w:rPr>
          <w:rFonts w:hint="eastAsia" w:ascii="仿宋_GB2312" w:hAnsi="宋体" w:eastAsia="仿宋_GB2312"/>
          <w:color w:val="auto"/>
          <w:sz w:val="32"/>
          <w:szCs w:val="32"/>
          <w:lang w:eastAsia="zh-CN"/>
        </w:rPr>
        <w:t>虚开发票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根据《中华人民共和国发票管理办法》（2019年修订版）第二十二条：“开具发票应当按照规定的时限、顺序、栏目，全部联次一次性如实开具，开具纸质发票应当加盖发票专用章。任何单位和个人不得有下列虚开发票行为：（一）为他人、为自己开具与实际经营业务情况不符的发票；（二）让他人为自己开具与实际经营业务情况不符的发票；（三）介绍他人开具与实际经营业务情况不符的发票。”的规定，你单位让他人为自己开具与实际经营业务情况不符的发票的行为，属于虚开增值税专用发票。</w:t>
      </w:r>
    </w:p>
    <w:p>
      <w:pPr>
        <w:keepNext w:val="0"/>
        <w:keepLines w:val="0"/>
        <w:pageBreakBefore w:val="0"/>
        <w:widowControl/>
        <w:kinsoku/>
        <w:wordWrap/>
        <w:overflowPunct w:val="0"/>
        <w:topLinePunct w:val="0"/>
        <w:autoSpaceDE w:val="0"/>
        <w:autoSpaceDN w:val="0"/>
        <w:bidi w:val="0"/>
        <w:adjustRightInd w:val="0"/>
        <w:snapToGrid/>
        <w:spacing w:line="560" w:lineRule="exact"/>
        <w:ind w:right="-512" w:rightChars="-244" w:firstLine="640" w:firstLineChars="200"/>
        <w:jc w:val="both"/>
        <w:textAlignment w:val="baseline"/>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2.增值税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sz w:val="32"/>
          <w:szCs w:val="32"/>
          <w:lang w:val="en-US" w:eastAsia="zh-CN"/>
        </w:rPr>
      </w:pPr>
      <w:r>
        <w:rPr>
          <w:rFonts w:hint="eastAsia" w:ascii="仿宋_GB2312" w:hAnsi="仿宋_GB2312" w:eastAsia="仿宋_GB2312" w:cs="仿宋_GB2312"/>
          <w:b w:val="0"/>
          <w:bCs w:val="0"/>
          <w:color w:val="auto"/>
          <w:sz w:val="32"/>
          <w:szCs w:val="32"/>
          <w:lang w:val="en-US" w:eastAsia="zh-CN"/>
        </w:rPr>
        <w:t>根据</w:t>
      </w:r>
      <w:r>
        <w:rPr>
          <w:rFonts w:hint="eastAsia" w:ascii="仿宋_GB2312" w:hAnsi="仿宋_GB2312" w:eastAsia="仿宋_GB2312" w:cs="仿宋_GB2312"/>
          <w:b w:val="0"/>
          <w:bCs w:val="0"/>
          <w:i w:val="0"/>
          <w:iCs w:val="0"/>
          <w:caps w:val="0"/>
          <w:color w:val="auto"/>
          <w:spacing w:val="0"/>
          <w:sz w:val="32"/>
          <w:szCs w:val="32"/>
          <w:shd w:val="clear" w:color="auto" w:fill="FFFFFF"/>
        </w:rPr>
        <w:t>《中华人民共和国增值税暂行条例》</w:t>
      </w:r>
      <w:r>
        <w:rPr>
          <w:rFonts w:hint="eastAsia" w:ascii="仿宋_GB2312" w:hAnsi="宋体" w:eastAsia="仿宋_GB2312" w:cs="Times New Roman"/>
          <w:color w:val="auto"/>
          <w:sz w:val="32"/>
          <w:szCs w:val="32"/>
          <w:lang w:val="en-US" w:eastAsia="zh-CN"/>
        </w:rPr>
        <w:t>第一条：“在中华人民共和国境内销售货物或者加工、修理修配劳务(以下简称劳务)，销售服务、无形资产、不动产以及进口货物的单位和个人，为增值税的纳税人，应当依照本条例缴纳增值税。”第四条：“除本条例第十一条规定外，纳税人销售货物、劳务、服务、无形资产、不动产（以下统称应税销售行为），应纳税额为当期销项税额抵扣当期进项税额后的余额。应纳税额计算公式：应纳税额=当期销项税额－当期进项税额。当期销项税额小于当期进项税额不足抵扣时，其不足部分可以结转下期继续抵扣。”第九条：“纳税人购进货物或者应税劳务，取得的增值税扣税凭证不符合法律、行政法规或者国务院税务主管部门有关规定的，其进项税额不得从销项税额中抵扣”</w:t>
      </w:r>
      <w:r>
        <w:rPr>
          <w:rFonts w:hint="eastAsia" w:ascii="仿宋_GB2312" w:hAnsi="仿宋_GB2312" w:eastAsia="仿宋_GB2312" w:cs="仿宋_GB2312"/>
          <w:b w:val="0"/>
          <w:bCs w:val="0"/>
          <w:color w:val="auto"/>
          <w:sz w:val="32"/>
          <w:szCs w:val="32"/>
          <w:lang w:val="en-US" w:eastAsia="zh-CN"/>
        </w:rPr>
        <w:t>以及根据</w:t>
      </w:r>
      <w:r>
        <w:rPr>
          <w:rFonts w:hint="eastAsia" w:ascii="仿宋_GB2312" w:hAnsi="宋体" w:eastAsia="仿宋_GB2312" w:cs="Times New Roman"/>
          <w:color w:val="auto"/>
          <w:sz w:val="32"/>
          <w:szCs w:val="32"/>
          <w:lang w:val="en-US" w:eastAsia="zh-CN"/>
        </w:rPr>
        <w:t>《国家税务总局关于纳税人虚开增值税专用发票征补税款问题的公告》（国家税务总局公告2012年第33号）：“纳税人虚开增值税专用发票，未就其虚开金额申报并缴纳增值税的，应按照其虚开金额补缴增值税;已就其虚开金额申报并缴纳增值税的，不再按照其虚开金额补缴增值税。税务机关对纳税人虚开增值税专用发票的行为，应按《中华人民共和国税收征收管理法》及《中华人民共和国发票管理办法》的有关规定给予处罚。纳税人取得虚开的增值税专用发票，不得作为增值税合法有效的扣税凭证抵扣其进项税额。”的规定，你单位上述违法事实属于取得虚开的增值税专用发票，不得作为增值税进项税额抵扣凭证。需转出进项税额2,490,977.04元，应补缴增值税2,490,977.04元。</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3.城市维护建设税</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宋体" w:eastAsia="仿宋_GB2312" w:cs="Times New Roman"/>
          <w:color w:val="auto"/>
          <w:sz w:val="32"/>
          <w:szCs w:val="32"/>
          <w:lang w:val="zh-CN" w:eastAsia="zh-CN"/>
        </w:rPr>
      </w:pPr>
      <w:r>
        <w:rPr>
          <w:rFonts w:hint="eastAsia" w:ascii="仿宋_GB2312" w:hAnsi="仿宋_GB2312" w:eastAsia="仿宋_GB2312" w:cs="仿宋_GB2312"/>
          <w:color w:val="auto"/>
          <w:sz w:val="32"/>
          <w:szCs w:val="32"/>
          <w:lang w:val="en-US" w:eastAsia="zh-CN"/>
        </w:rPr>
        <w:t>根据《中华人民共和国城市维护建设税法》第一条：“在中华人民共和国境内缴纳增值税、消费税的单位和个人，为城市维护建设税的纳税人，应当依照本法规定缴纳城市维护建设税。”第二条：“城市维护建设税以纳税人依法实际缴纳的增值税、消费税税额为计税依据。城市维护建设税的计税依据应当按照规定扣除期末留抵退税退还的增值税税额。城市维护建设税计税依据的具体确定办法，由国务院依据本法和有关税收法律、行政法规规定，报全国人民代表大会常务委员会备案。”第四条：“城市维护建设税税率如下</w:t>
      </w:r>
      <w:r>
        <w:rPr>
          <w:rFonts w:hint="default"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Hans"/>
        </w:rPr>
        <w:t>一</w:t>
      </w:r>
      <w:r>
        <w:rPr>
          <w:rFonts w:hint="default"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纳税人所在地在市区的，税率为百分之七</w:t>
      </w:r>
      <w:r>
        <w:rPr>
          <w:rFonts w:hint="default"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Hans"/>
        </w:rPr>
        <w:t>二</w:t>
      </w:r>
      <w:r>
        <w:rPr>
          <w:rFonts w:hint="default"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纳税人所在地在县城、镇的，税率为百分之五</w:t>
      </w:r>
      <w:r>
        <w:rPr>
          <w:rFonts w:hint="default"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Hans"/>
        </w:rPr>
        <w:t>三</w:t>
      </w:r>
      <w:r>
        <w:rPr>
          <w:rFonts w:hint="default"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纳税人所在地不在市区、县城或者镇的，税率为百分之一。前款所称纳税人所在地，是指纳税人住所地或者与纳税人生产经营活动相关的其他地点，具体地点由省、自治区、直辖市确定。”第五条：“城市维护建设税的应纳税额按照计税依据乘以具体适用税率计算。”第七条：“城市维护建设税的纳税义务发生时间与增值税、消费税的纳税义务发生时间一致，分别与增值税、消费税同时缴纳”以及</w:t>
      </w:r>
      <w:r>
        <w:rPr>
          <w:rFonts w:hint="eastAsia" w:ascii="仿宋_GB2312" w:hAnsi="宋体" w:eastAsia="仿宋_GB2312" w:cs="Times New Roman"/>
          <w:color w:val="auto"/>
          <w:sz w:val="32"/>
          <w:szCs w:val="32"/>
          <w:lang w:val="zh-CN" w:eastAsia="zh-CN"/>
        </w:rPr>
        <w:t>根据《财政部 税务总局关于进一步实施小微企业“六税两费”减免政策的公告》（财政部 税务总局公告2022年第10号）一、由省、自治区、直辖市人民政府根据本地区实际情况，以及宏观调控需要确定，对增值税小规模纳税人、小型微利企业和个体工商户可以在50%的税额幅度内减征资源税、城市维护建设税、房产税、城镇土地使用税、印花税（不含证券交易印花税）、耕地占用税和教育费附加、地方教育附加。三、本公告所称小型微利企业，是指从事国家非限制和禁止行业，且同时符合年度应纳税所得额不超过300万元、从业人数不超过300人、资产总额不超过5000万元等三个条件的企业。四、本公告执行期限为2022年1月1日至2024年12月31日”及根据《内蒙古自治区财政厅国家税务总局内蒙古自治区税务局关于进一步实施“六税两费”减免政策通知》（内财税</w:t>
      </w:r>
      <w:r>
        <w:rPr>
          <w:rFonts w:hint="eastAsia" w:ascii="仿宋_GB2312" w:hAnsi="宋体" w:eastAsia="仿宋_GB2312" w:cs="Times New Roman"/>
          <w:color w:val="auto"/>
          <w:sz w:val="32"/>
          <w:szCs w:val="32"/>
          <w:lang w:val="en-US" w:eastAsia="zh-CN"/>
        </w:rPr>
        <w:t>2022年325号）第一条：对增值税小规模纳税人、小型微利企业和个体工商户减按50%征收资源税（不含水资源税）、城市维护建设税、房产税、城镇土地使用税、印花税（不含证券交易印花税）、耕地占用税和教育费附加、地方教育附加。”的规定，</w:t>
      </w:r>
      <w:r>
        <w:rPr>
          <w:rFonts w:hint="eastAsia" w:ascii="仿宋_GB2312" w:hAnsi="宋体" w:eastAsia="仿宋_GB2312" w:cs="Times New Roman"/>
          <w:color w:val="auto"/>
          <w:sz w:val="32"/>
          <w:szCs w:val="32"/>
          <w:lang w:val="zh-CN" w:eastAsia="zh-CN"/>
        </w:rPr>
        <w:t>你单位应补缴</w:t>
      </w:r>
      <w:r>
        <w:rPr>
          <w:rFonts w:hint="eastAsia" w:ascii="仿宋_GB2312" w:hAnsi="宋体" w:eastAsia="仿宋_GB2312" w:cs="Times New Roman"/>
          <w:color w:val="auto"/>
          <w:sz w:val="32"/>
          <w:szCs w:val="32"/>
          <w:lang w:val="en-US" w:eastAsia="zh-CN"/>
        </w:rPr>
        <w:t>2022年6月份至2023年2月</w:t>
      </w:r>
      <w:r>
        <w:rPr>
          <w:rFonts w:hint="eastAsia" w:ascii="仿宋_GB2312" w:hAnsi="宋体" w:eastAsia="仿宋_GB2312" w:cs="Times New Roman"/>
          <w:color w:val="auto"/>
          <w:sz w:val="32"/>
          <w:szCs w:val="32"/>
          <w:lang w:val="zh-CN" w:eastAsia="zh-CN"/>
        </w:rPr>
        <w:t>城市维护建设税87</w:t>
      </w:r>
      <w:r>
        <w:rPr>
          <w:rFonts w:hint="eastAsia" w:ascii="仿宋_GB2312" w:hAnsi="宋体" w:eastAsia="仿宋_GB2312" w:cs="Times New Roman"/>
          <w:color w:val="auto"/>
          <w:sz w:val="32"/>
          <w:szCs w:val="32"/>
          <w:lang w:val="en-US" w:eastAsia="zh-CN"/>
        </w:rPr>
        <w:t>,</w:t>
      </w:r>
      <w:r>
        <w:rPr>
          <w:rFonts w:hint="eastAsia" w:ascii="仿宋_GB2312" w:hAnsi="宋体" w:eastAsia="仿宋_GB2312" w:cs="Times New Roman"/>
          <w:color w:val="auto"/>
          <w:sz w:val="32"/>
          <w:szCs w:val="32"/>
          <w:lang w:val="zh-CN" w:eastAsia="zh-CN"/>
        </w:rPr>
        <w:t>184.22元。</w:t>
      </w:r>
    </w:p>
    <w:p>
      <w:pPr>
        <w:keepNext w:val="0"/>
        <w:keepLines w:val="0"/>
        <w:pageBreakBefore w:val="0"/>
        <w:widowControl/>
        <w:kinsoku/>
        <w:wordWrap/>
        <w:overflowPunct w:val="0"/>
        <w:topLinePunct w:val="0"/>
        <w:autoSpaceDE w:val="0"/>
        <w:autoSpaceDN w:val="0"/>
        <w:bidi w:val="0"/>
        <w:adjustRightInd w:val="0"/>
        <w:snapToGrid/>
        <w:spacing w:line="560" w:lineRule="exact"/>
        <w:ind w:right="-512" w:rightChars="-244" w:firstLine="640" w:firstLineChars="200"/>
        <w:jc w:val="both"/>
        <w:textAlignment w:val="baseline"/>
        <w:rPr>
          <w:rFonts w:hint="eastAsia"/>
          <w:color w:val="auto"/>
          <w:sz w:val="32"/>
          <w:szCs w:val="32"/>
          <w:lang w:val="en-US" w:eastAsia="zh-CN"/>
        </w:rPr>
      </w:pPr>
      <w:r>
        <w:rPr>
          <w:rFonts w:hint="eastAsia" w:ascii="仿宋_GB2312" w:hAnsi="仿宋_GB2312" w:eastAsia="仿宋_GB2312" w:cs="仿宋_GB2312"/>
          <w:color w:val="auto"/>
          <w:sz w:val="32"/>
          <w:szCs w:val="32"/>
          <w:lang w:val="en-US" w:eastAsia="zh-CN"/>
        </w:rPr>
        <w:t>4.教育费附加</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仿宋_GB2312" w:hAnsi="宋体" w:eastAsia="仿宋_GB2312" w:cs="Times New Roman"/>
          <w:color w:val="auto"/>
          <w:sz w:val="32"/>
          <w:szCs w:val="32"/>
          <w:lang w:val="en-US" w:eastAsia="zh-CN"/>
        </w:rPr>
      </w:pPr>
      <w:r>
        <w:rPr>
          <w:rFonts w:hint="eastAsia" w:ascii="仿宋_GB2312" w:hAnsi="仿宋_GB2312" w:eastAsia="仿宋_GB2312" w:cs="仿宋_GB2312"/>
          <w:color w:val="auto"/>
          <w:sz w:val="32"/>
          <w:szCs w:val="32"/>
          <w:lang w:val="en-US" w:eastAsia="zh-CN"/>
        </w:rPr>
        <w:t>根据《征收教育费附加的暂行规定》第二条：“凡缴纳消费税、增值税、营业税的单位和个人，除按照《国务院关于筹措农村学校办学经费的通知》（国发〔1984〕174号文）的规定，缴纳农村教育事业费附加的单位外，都应当依照本规定缴纳教育费附加。”第三条第一款：“教育费附加，以各单位和个人实际缴纳的增值税、营业税、消费税的税额为计征依据，教育费附加率为3%，分别与增值税、营业税、消费税同时缴纳”以及</w:t>
      </w:r>
      <w:r>
        <w:rPr>
          <w:rFonts w:hint="eastAsia" w:ascii="仿宋_GB2312" w:hAnsi="宋体" w:eastAsia="仿宋_GB2312" w:cs="Times New Roman"/>
          <w:color w:val="auto"/>
          <w:sz w:val="32"/>
          <w:szCs w:val="32"/>
          <w:lang w:val="zh-CN" w:eastAsia="zh-CN"/>
        </w:rPr>
        <w:t>根据《财政部 税务总局关于进一步实施小微企业“六税两费”减免政策的公告》（财政部 税务总局公告2022年第10号）一、由省、自治区、直辖市人民政府根据本地区实际情况，以及宏观调控需要确定，对增值税小规模纳税人、小型微利企业和个体工商户可以在50%的税额幅度内减征资源税、城市维护建设税、房产税、城镇土地使用税、印花税（不含证券交易印花税）、耕地占用税和教育费附加、地方教育附加。三、本公告所称小型微利企业，是指从事国家非限制和禁止行业，且同时符合年度应纳税所得额不超过300万元、从业人数不超过300人、资产总</w:t>
      </w:r>
      <w:bookmarkStart w:id="5" w:name="_GoBack"/>
      <w:bookmarkEnd w:id="5"/>
      <w:r>
        <w:rPr>
          <w:rFonts w:hint="eastAsia" w:ascii="仿宋_GB2312" w:hAnsi="宋体" w:eastAsia="仿宋_GB2312" w:cs="Times New Roman"/>
          <w:color w:val="auto"/>
          <w:sz w:val="32"/>
          <w:szCs w:val="32"/>
          <w:lang w:val="zh-CN" w:eastAsia="zh-CN"/>
        </w:rPr>
        <w:t>额不超过5000万元等三个条件的企业。四、本公告执行期限为2022年1月1日至2024年12月31日”及根据《内蒙古自治区财政厅国家税务总局内蒙古自治区税务局关于进一步实施“六税两费”减免政策通知》（内财税</w:t>
      </w:r>
      <w:r>
        <w:rPr>
          <w:rFonts w:hint="eastAsia" w:ascii="仿宋_GB2312" w:hAnsi="宋体" w:eastAsia="仿宋_GB2312" w:cs="Times New Roman"/>
          <w:color w:val="auto"/>
          <w:sz w:val="32"/>
          <w:szCs w:val="32"/>
          <w:lang w:val="en-US" w:eastAsia="zh-CN"/>
        </w:rPr>
        <w:t>2022年325号）第一条：对增值税小规模纳税人、小型微利企业和个体工商户减按50%征收资源税（不含水资源税）、城市维护建设税、房产税、城镇土地使用税、印花税（不含证券交易印花税）、耕地占用税和教育费附加、地方教育附加。”的规定，</w:t>
      </w:r>
      <w:r>
        <w:rPr>
          <w:rFonts w:hint="eastAsia" w:ascii="仿宋_GB2312" w:hAnsi="宋体" w:eastAsia="仿宋_GB2312" w:cs="Times New Roman"/>
          <w:color w:val="auto"/>
          <w:sz w:val="32"/>
          <w:szCs w:val="32"/>
          <w:lang w:val="zh-CN" w:eastAsia="zh-CN"/>
        </w:rPr>
        <w:t>你单位</w:t>
      </w:r>
      <w:r>
        <w:rPr>
          <w:rFonts w:hint="eastAsia" w:ascii="仿宋_GB2312" w:hAnsi="宋体" w:eastAsia="仿宋_GB2312" w:cs="Times New Roman"/>
          <w:color w:val="auto"/>
          <w:sz w:val="32"/>
          <w:szCs w:val="32"/>
          <w:lang w:val="en-US" w:eastAsia="zh-CN"/>
        </w:rPr>
        <w:t>2022年6月份至2023年2月份应补缴教育费附加37,364.66元。</w:t>
      </w:r>
    </w:p>
    <w:p>
      <w:pPr>
        <w:keepNext w:val="0"/>
        <w:keepLines w:val="0"/>
        <w:pageBreakBefore w:val="0"/>
        <w:widowControl/>
        <w:kinsoku/>
        <w:wordWrap/>
        <w:overflowPunct w:val="0"/>
        <w:topLinePunct w:val="0"/>
        <w:autoSpaceDE w:val="0"/>
        <w:autoSpaceDN w:val="0"/>
        <w:bidi w:val="0"/>
        <w:adjustRightInd w:val="0"/>
        <w:snapToGrid/>
        <w:spacing w:line="560" w:lineRule="exact"/>
        <w:ind w:right="-512" w:rightChars="-244" w:firstLine="640"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5.地方教育附加</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仿宋_GB2312" w:hAnsi="宋体" w:eastAsia="仿宋_GB2312" w:cs="Times New Roman"/>
          <w:color w:val="auto"/>
          <w:sz w:val="32"/>
          <w:szCs w:val="32"/>
          <w:lang w:val="en-US" w:eastAsia="zh-CN"/>
        </w:rPr>
      </w:pPr>
      <w:r>
        <w:rPr>
          <w:rFonts w:hint="eastAsia" w:ascii="仿宋_GB2312" w:hAnsi="仿宋_GB2312" w:eastAsia="仿宋_GB2312" w:cs="仿宋_GB2312"/>
          <w:color w:val="auto"/>
          <w:sz w:val="32"/>
          <w:szCs w:val="32"/>
          <w:lang w:val="en-US" w:eastAsia="zh-CN"/>
        </w:rPr>
        <w:t>根据《内蒙古自治区地方教育附加征收使用管理办法》（内政字〔2016〕64号）第四条：“自治区行政区域内所有缴纳增值税、营业税、消费税（以下简称“三税”）的单位和个人（包括外商投资企业、外国企业及外籍个人），应当依照本办法缴纳地方教育附加。”第五条：“地方教育附加的征收标准为单位和个人实际缴纳“三税”税额的2%”</w:t>
      </w:r>
      <w:r>
        <w:rPr>
          <w:rFonts w:hint="eastAsia" w:ascii="仿宋_GB2312" w:hAnsi="宋体" w:eastAsia="仿宋_GB2312" w:cs="Times New Roman"/>
          <w:color w:val="auto"/>
          <w:sz w:val="32"/>
          <w:szCs w:val="32"/>
          <w:lang w:val="zh-CN" w:eastAsia="zh-CN"/>
        </w:rPr>
        <w:t>以及根据《财政部 税务总局关于进一步实施小微企业“六税两费”减免政策的公告》（财政部 税务总局公告2022年第10号）一、由省、自治区、直辖市人民政府根据本地区实际情况，以及宏观调控需要确定，对增值税小规模纳税人、小型微利企业和个体工商户可以在50%的税额幅度内减征资源税、城市维护建设税、房产税、城镇土地使用税、印花税（不含证券交易印花税）、耕地占用税和教育费附加、地方教育附加。三、本公告所称小型微利企业，是指从事国家非限制和禁止行业，且同时符合年度应纳税所得额不超过300万元、从业人数不超过300人、资产总额不超过5000万元等三个条件的企业。四、本公告执行期限为2022年1月1日至2024年12月31日”及根据《内蒙古自治区财政厅国家税务总局内蒙古自治区税务局关于进一步实施“六税两费”减免政策通知》（内财税</w:t>
      </w:r>
      <w:r>
        <w:rPr>
          <w:rFonts w:hint="eastAsia" w:ascii="仿宋_GB2312" w:hAnsi="宋体" w:eastAsia="仿宋_GB2312" w:cs="Times New Roman"/>
          <w:color w:val="auto"/>
          <w:sz w:val="32"/>
          <w:szCs w:val="32"/>
          <w:lang w:val="en-US" w:eastAsia="zh-CN"/>
        </w:rPr>
        <w:t>2022年325号）第一条：对增值税小规模纳税人、小型微利企业和个体工商户减按50%征收资源税（不含水资源税）、城市维护建设税、房产税、城镇土地使用税、印花税（不含证券交易印花税）、耕地占用税和教育费附加、地方教育附加。”的规定，</w:t>
      </w:r>
      <w:r>
        <w:rPr>
          <w:rFonts w:hint="eastAsia" w:ascii="仿宋_GB2312" w:hAnsi="宋体" w:eastAsia="仿宋_GB2312" w:cs="Times New Roman"/>
          <w:color w:val="auto"/>
          <w:sz w:val="32"/>
          <w:szCs w:val="32"/>
          <w:lang w:val="zh-CN" w:eastAsia="zh-CN"/>
        </w:rPr>
        <w:t>你单位</w:t>
      </w:r>
      <w:r>
        <w:rPr>
          <w:rFonts w:hint="eastAsia" w:ascii="仿宋_GB2312" w:hAnsi="宋体" w:eastAsia="仿宋_GB2312" w:cs="Times New Roman"/>
          <w:color w:val="auto"/>
          <w:sz w:val="32"/>
          <w:szCs w:val="32"/>
          <w:lang w:val="en-US" w:eastAsia="zh-CN"/>
        </w:rPr>
        <w:t>2022年6月份至2023年2月份应补缴</w:t>
      </w:r>
      <w:r>
        <w:rPr>
          <w:rFonts w:hint="eastAsia" w:ascii="仿宋_GB2312" w:hAnsi="宋体" w:eastAsia="仿宋_GB2312" w:cs="Times New Roman"/>
          <w:color w:val="auto"/>
          <w:sz w:val="32"/>
          <w:szCs w:val="32"/>
          <w:lang w:val="zh-CN" w:eastAsia="zh-CN"/>
        </w:rPr>
        <w:t>地方教育附加24</w:t>
      </w:r>
      <w:r>
        <w:rPr>
          <w:rFonts w:hint="eastAsia" w:ascii="仿宋_GB2312" w:hAnsi="宋体" w:eastAsia="仿宋_GB2312" w:cs="Times New Roman"/>
          <w:color w:val="auto"/>
          <w:sz w:val="32"/>
          <w:szCs w:val="32"/>
          <w:lang w:val="en-US" w:eastAsia="zh-CN"/>
        </w:rPr>
        <w:t>,</w:t>
      </w:r>
      <w:r>
        <w:rPr>
          <w:rFonts w:hint="eastAsia" w:ascii="仿宋_GB2312" w:hAnsi="宋体" w:eastAsia="仿宋_GB2312" w:cs="Times New Roman"/>
          <w:color w:val="auto"/>
          <w:sz w:val="32"/>
          <w:szCs w:val="32"/>
          <w:lang w:val="zh-CN" w:eastAsia="zh-CN"/>
        </w:rPr>
        <w:t>909.78</w:t>
      </w:r>
      <w:r>
        <w:rPr>
          <w:rFonts w:hint="eastAsia" w:ascii="仿宋_GB2312" w:hAnsi="宋体" w:eastAsia="仿宋_GB2312" w:cs="Times New Roman"/>
          <w:color w:val="auto"/>
          <w:sz w:val="32"/>
          <w:szCs w:val="32"/>
          <w:lang w:val="en-US" w:eastAsia="zh-CN"/>
        </w:rPr>
        <w:t>元。</w:t>
      </w:r>
    </w:p>
    <w:p>
      <w:pPr>
        <w:keepNext w:val="0"/>
        <w:keepLines w:val="0"/>
        <w:pageBreakBefore w:val="0"/>
        <w:kinsoku/>
        <w:wordWrap/>
        <w:topLinePunct w:val="0"/>
        <w:bidi w:val="0"/>
        <w:spacing w:line="560" w:lineRule="exact"/>
        <w:ind w:firstLine="640" w:firstLineChars="200"/>
        <w:jc w:val="both"/>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val="en-US" w:eastAsia="zh-CN"/>
        </w:rPr>
        <w:t>6.</w:t>
      </w:r>
      <w:r>
        <w:rPr>
          <w:rFonts w:hint="eastAsia" w:ascii="仿宋_GB2312" w:hAnsi="仿宋_GB2312" w:eastAsia="仿宋_GB2312" w:cs="仿宋_GB2312"/>
          <w:bCs/>
          <w:color w:val="auto"/>
          <w:sz w:val="32"/>
          <w:szCs w:val="32"/>
          <w:lang w:eastAsia="zh-CN"/>
        </w:rPr>
        <w:t>水利建设基金</w:t>
      </w:r>
    </w:p>
    <w:p>
      <w:pPr>
        <w:keepNext w:val="0"/>
        <w:keepLines w:val="0"/>
        <w:pageBreakBefore w:val="0"/>
        <w:kinsoku/>
        <w:wordWrap/>
        <w:topLinePunct w:val="0"/>
        <w:bidi w:val="0"/>
        <w:spacing w:line="560" w:lineRule="exact"/>
        <w:ind w:firstLine="640" w:firstLineChars="200"/>
        <w:jc w:val="both"/>
        <w:rPr>
          <w:rFonts w:hint="default" w:ascii="仿宋_GB2312" w:hAnsi="宋体" w:eastAsia="仿宋_GB2312" w:cs="Times New Roman"/>
          <w:color w:val="auto"/>
          <w:sz w:val="32"/>
          <w:szCs w:val="32"/>
          <w:lang w:val="en-US" w:eastAsia="zh-CN"/>
        </w:rPr>
      </w:pPr>
      <w:r>
        <w:rPr>
          <w:rFonts w:hint="eastAsia" w:ascii="仿宋_GB2312" w:hAnsi="仿宋_GB2312" w:eastAsia="仿宋_GB2312" w:cs="仿宋_GB2312"/>
          <w:bCs/>
          <w:color w:val="auto"/>
          <w:sz w:val="32"/>
          <w:szCs w:val="32"/>
          <w:lang w:eastAsia="zh-CN"/>
        </w:rPr>
        <w:t>根据</w:t>
      </w:r>
      <w:r>
        <w:rPr>
          <w:rFonts w:hint="eastAsia" w:ascii="仿宋_GB2312" w:hAnsi="仿宋_GB2312" w:eastAsia="仿宋_GB2312" w:cs="仿宋_GB2312"/>
          <w:bCs/>
          <w:color w:val="auto"/>
          <w:sz w:val="32"/>
          <w:szCs w:val="32"/>
        </w:rPr>
        <w:t>《内蒙古自治区水利建设基金筹集和使用管理实施细则》（内财税〔2021〕1055号）第二条：“2021年1月1日至2021年12月31日,凡有销售收入或营业收入的企业、事业单位及个体经营者，按上月销售收入或营业收入的1‰计征，其中，银行(含信用社)按上年利息收入的0.6‰计征，利息收入不含金融机构往来收入；保险公司一年期以上返还本利的人身保险业务免征地方水利建设基金，其他按上年保费收入的0.6‰计征；各类信托投资公司、财务公司等非银行金融机构按上年业务收入的1‰计征。2022年1月1日起，自治区行政区域内以纳税人依法实际缴纳的增值税、消费税税额(以下简称两税税额)为计费依据，乘以具体适用费率计征地方水利建设基金，与增值税、消费税同时缴纳。其中，2022年具体适用费率为1%；2023年起具体适用费率为0.5%。依法实际缴纳的两税税额，是指纳税人依照增值税、消费税相关法律法规和税收政策规定计算的应当缴纳的两税税额(不含因进口货物或境外单位和个人向境内销售劳务、服务、无形资产缴纳的两税税额)，加上增值税免抵税额，扣除直接减免的两税税额和期末留抵退税退还的增值税税额后的金额。直接减免的两税税额，是指依照增值税、消费税相关法律法规和税收政策规定，直接减征或免征的两税税额，不包括实行先征后返、先征后退、即征即退办法退还的两税税额。对出口产品退还增值税、消费税的，不退还已征的地方水利建设基金</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eastAsia="zh-CN"/>
        </w:rPr>
        <w:t>的规定，</w:t>
      </w:r>
      <w:r>
        <w:rPr>
          <w:rFonts w:hint="eastAsia" w:ascii="仿宋_GB2312" w:hAnsi="宋体" w:eastAsia="仿宋_GB2312" w:cs="Times New Roman"/>
          <w:color w:val="auto"/>
          <w:sz w:val="32"/>
          <w:szCs w:val="32"/>
          <w:lang w:val="zh-CN" w:eastAsia="zh-CN"/>
        </w:rPr>
        <w:t>你单位</w:t>
      </w:r>
      <w:r>
        <w:rPr>
          <w:rFonts w:hint="eastAsia" w:ascii="仿宋_GB2312" w:hAnsi="宋体" w:eastAsia="仿宋_GB2312" w:cs="Times New Roman"/>
          <w:color w:val="auto"/>
          <w:sz w:val="32"/>
          <w:szCs w:val="32"/>
          <w:lang w:val="en-US" w:eastAsia="zh-CN"/>
        </w:rPr>
        <w:t>2022年6月份至2023年2月份应补缴水利建设专项收入23,297.06元。</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综上，你单位应补缴增值税2,490,977.04元，应补缴</w:t>
      </w:r>
      <w:r>
        <w:rPr>
          <w:rFonts w:hint="eastAsia" w:ascii="仿宋_GB2312" w:hAnsi="仿宋_GB2312" w:eastAsia="仿宋_GB2312" w:cs="仿宋_GB2312"/>
          <w:color w:val="auto"/>
          <w:sz w:val="32"/>
          <w:szCs w:val="32"/>
          <w:lang w:val="zh-CN" w:eastAsia="zh-CN"/>
        </w:rPr>
        <w:t>城市维护建设税</w:t>
      </w:r>
      <w:r>
        <w:rPr>
          <w:rFonts w:hint="eastAsia" w:ascii="仿宋_GB2312" w:hAnsi="仿宋_GB2312" w:eastAsia="仿宋_GB2312" w:cs="仿宋_GB2312"/>
          <w:color w:val="auto"/>
          <w:sz w:val="32"/>
          <w:szCs w:val="32"/>
          <w:lang w:val="en-US" w:eastAsia="zh-CN"/>
        </w:rPr>
        <w:t>87,184.22</w:t>
      </w:r>
      <w:r>
        <w:rPr>
          <w:rFonts w:hint="eastAsia" w:ascii="仿宋_GB2312" w:hAnsi="仿宋_GB2312" w:eastAsia="仿宋_GB2312" w:cs="仿宋_GB2312"/>
          <w:color w:val="auto"/>
          <w:sz w:val="32"/>
          <w:szCs w:val="32"/>
          <w:lang w:val="zh-CN" w:eastAsia="zh-CN"/>
        </w:rPr>
        <w:t>元，</w:t>
      </w:r>
      <w:r>
        <w:rPr>
          <w:rFonts w:hint="eastAsia" w:ascii="仿宋_GB2312" w:hAnsi="仿宋_GB2312" w:eastAsia="仿宋_GB2312" w:cs="仿宋_GB2312"/>
          <w:color w:val="auto"/>
          <w:sz w:val="32"/>
          <w:szCs w:val="32"/>
          <w:lang w:val="en-US" w:eastAsia="zh-CN"/>
        </w:rPr>
        <w:t>应补缴教育费附加37,364.66元，应补缴</w:t>
      </w:r>
      <w:r>
        <w:rPr>
          <w:rFonts w:hint="eastAsia" w:ascii="仿宋_GB2312" w:hAnsi="仿宋_GB2312" w:eastAsia="仿宋_GB2312" w:cs="仿宋_GB2312"/>
          <w:color w:val="auto"/>
          <w:sz w:val="32"/>
          <w:szCs w:val="32"/>
          <w:lang w:val="zh-CN" w:eastAsia="zh-CN"/>
        </w:rPr>
        <w:t>地方教育附加24</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zh-CN" w:eastAsia="zh-CN"/>
        </w:rPr>
        <w:t>909.78</w:t>
      </w:r>
      <w:r>
        <w:rPr>
          <w:rFonts w:hint="eastAsia" w:ascii="仿宋_GB2312" w:hAnsi="仿宋_GB2312" w:eastAsia="仿宋_GB2312" w:cs="仿宋_GB2312"/>
          <w:color w:val="auto"/>
          <w:sz w:val="32"/>
          <w:szCs w:val="32"/>
          <w:lang w:val="en-US" w:eastAsia="zh-CN"/>
        </w:rPr>
        <w:t>元，应补缴水利建设专项基金23,297.06元。上述补缴税费款共计：2,663,732.76元。</w:t>
      </w:r>
    </w:p>
    <w:p>
      <w:pPr>
        <w:keepNext w:val="0"/>
        <w:keepLines w:val="0"/>
        <w:pageBreakBefore w:val="0"/>
        <w:widowControl/>
        <w:kinsoku/>
        <w:wordWrap/>
        <w:overflowPunct w:val="0"/>
        <w:topLinePunct w:val="0"/>
        <w:autoSpaceDE w:val="0"/>
        <w:autoSpaceDN w:val="0"/>
        <w:bidi w:val="0"/>
        <w:adjustRightInd w:val="0"/>
        <w:snapToGrid/>
        <w:spacing w:line="560" w:lineRule="exact"/>
        <w:ind w:right="-512" w:rightChars="-244"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lang w:eastAsia="zh-CN"/>
        </w:rPr>
        <w:t>滞纳金</w:t>
      </w:r>
    </w:p>
    <w:p>
      <w:pPr>
        <w:keepNext w:val="0"/>
        <w:keepLines w:val="0"/>
        <w:pageBreakBefore w:val="0"/>
        <w:kinsoku/>
        <w:wordWrap/>
        <w:topLinePunct w:val="0"/>
        <w:bidi w:val="0"/>
        <w:spacing w:line="560" w:lineRule="exact"/>
        <w:ind w:firstLine="640" w:firstLineChars="200"/>
        <w:jc w:val="both"/>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val="en-US" w:eastAsia="zh-CN"/>
        </w:rPr>
        <w:t>根据《中华人民共和国税收征收管理法》第三十二条：“纳税人未按照规定期限缴纳税款的，扣缴义务人未按照规定期限解缴税款的，税务机关除责令限期缴纳外，从滞纳税款之日起，按日加收滞纳税款万分之五的滞纳金。”以及《中华人民共和国税收征收管理法实施细则》第七十五条：“税收征管法第三十二条规定的加收滞纳金的起止时间，为法律、行政法规规定或者税务机关依照法律、行政法规的规定确定的税款缴纳期限届满次日起至纳税人、扣缴义务人实际缴纳或者解缴税款之日止。”的规定，</w:t>
      </w:r>
      <w:r>
        <w:rPr>
          <w:rFonts w:hint="eastAsia" w:ascii="仿宋_GB2312" w:hAnsi="仿宋_GB2312" w:eastAsia="仿宋_GB2312" w:cs="仿宋_GB2312"/>
          <w:bCs/>
          <w:color w:val="auto"/>
          <w:sz w:val="32"/>
          <w:szCs w:val="32"/>
        </w:rPr>
        <w:t>对</w:t>
      </w:r>
      <w:r>
        <w:rPr>
          <w:rFonts w:hint="eastAsia" w:ascii="仿宋_GB2312" w:hAnsi="仿宋_GB2312" w:eastAsia="仿宋_GB2312" w:cs="仿宋_GB2312"/>
          <w:bCs/>
          <w:color w:val="auto"/>
          <w:sz w:val="32"/>
          <w:szCs w:val="32"/>
          <w:lang w:eastAsia="zh-CN"/>
        </w:rPr>
        <w:t>你单位</w:t>
      </w:r>
      <w:r>
        <w:rPr>
          <w:rFonts w:hint="eastAsia" w:ascii="仿宋_GB2312" w:hAnsi="仿宋_GB2312" w:eastAsia="仿宋_GB2312" w:cs="仿宋_GB2312"/>
          <w:bCs/>
          <w:color w:val="auto"/>
          <w:sz w:val="32"/>
          <w:szCs w:val="32"/>
          <w:lang w:val="en-US" w:eastAsia="zh-CN"/>
        </w:rPr>
        <w:t>应补缴的增值税、城市维护建设税从滞纳税款之日起到缴纳税款之日止依法加收滞纳金。</w:t>
      </w:r>
    </w:p>
    <w:p>
      <w:pPr>
        <w:keepNext w:val="0"/>
        <w:keepLines w:val="0"/>
        <w:pageBreakBefore w:val="0"/>
        <w:kinsoku/>
        <w:wordWrap/>
        <w:topLinePunct w:val="0"/>
        <w:bidi w:val="0"/>
        <w:spacing w:line="560" w:lineRule="exact"/>
        <w:ind w:firstLine="640" w:firstLineChars="200"/>
        <w:jc w:val="both"/>
        <w:rPr>
          <w:rFonts w:hint="eastAsia" w:ascii="仿宋_GB2312" w:eastAsia="仿宋_GB2312"/>
          <w:color w:val="000000"/>
          <w:sz w:val="32"/>
          <w:szCs w:val="32"/>
        </w:rPr>
      </w:pPr>
      <w:r>
        <w:rPr>
          <w:rFonts w:hint="eastAsia" w:ascii="仿宋_GB2312" w:hAnsi="仿宋_GB2312" w:eastAsia="仿宋_GB2312" w:cs="仿宋_GB2312"/>
          <w:bCs/>
          <w:color w:val="auto"/>
          <w:sz w:val="32"/>
          <w:szCs w:val="32"/>
        </w:rPr>
        <w:t>限你单位自收到本决定书之日起</w:t>
      </w:r>
      <w:bookmarkStart w:id="3" w:name="xjts"/>
      <w:bookmarkEnd w:id="3"/>
      <w:r>
        <w:rPr>
          <w:rFonts w:hint="eastAsia" w:ascii="仿宋_GB2312" w:hAnsi="仿宋_GB2312" w:eastAsia="仿宋_GB2312" w:cs="仿宋_GB2312"/>
          <w:bCs/>
          <w:color w:val="auto"/>
          <w:sz w:val="32"/>
          <w:szCs w:val="32"/>
          <w:lang w:eastAsia="zh-CN"/>
        </w:rPr>
        <w:t>15</w:t>
      </w:r>
      <w:r>
        <w:rPr>
          <w:rFonts w:hint="eastAsia" w:ascii="仿宋_GB2312" w:hAnsi="仿宋_GB2312" w:eastAsia="仿宋_GB2312" w:cs="仿宋_GB2312"/>
          <w:bCs/>
          <w:color w:val="auto"/>
          <w:sz w:val="32"/>
          <w:szCs w:val="32"/>
        </w:rPr>
        <w:t>日内到</w:t>
      </w:r>
      <w:bookmarkStart w:id="4" w:name="jkdd"/>
      <w:bookmarkEnd w:id="4"/>
      <w:r>
        <w:rPr>
          <w:rFonts w:hint="eastAsia" w:ascii="仿宋_GB2312" w:hAnsi="宋体" w:eastAsia="仿宋_GB2312" w:cs="Times New Roman"/>
          <w:color w:val="auto"/>
          <w:sz w:val="32"/>
          <w:szCs w:val="32"/>
          <w:lang w:val="en-US" w:eastAsia="zh-CN"/>
        </w:rPr>
        <w:t>国家税务总局鄂尔多斯市东胜区税务局</w:t>
      </w:r>
      <w:r>
        <w:rPr>
          <w:rFonts w:hint="eastAsia" w:ascii="仿宋_GB2312" w:hAnsi="仿宋" w:eastAsia="仿宋_GB2312"/>
          <w:sz w:val="32"/>
          <w:szCs w:val="32"/>
        </w:rPr>
        <w:t>将上述税款及滞纳金缴纳入库，并按照规定进行相关账务调整。</w:t>
      </w:r>
      <w:r>
        <w:rPr>
          <w:rFonts w:hint="eastAsia" w:ascii="仿宋_GB2312" w:eastAsia="仿宋_GB2312"/>
          <w:color w:val="000000"/>
          <w:sz w:val="32"/>
          <w:szCs w:val="32"/>
        </w:rPr>
        <w:t>逾期未缴清的，将依照《中华人民共和国税收征收管理法》第四十条“从事生产、经营的纳税人、扣缴义务人未按照规定的期限缴纳或者解缴税款，纳税担保人未按照规定的期限缴纳所担保的税款，由税务机关责令限期缴纳，逾期仍未缴纳的，经县以上税务局(分局)局长批准，税务机关可以采取下列强制执行措施:(一)书面通知其开户银行或者其他金融机构从其存款中扣缴税款;(二)扣押、查封、依法拍卖或者变卖其价值相当于应纳税款的商品、货物或者其他财产，以拍卖或者变卖所得抵缴税款。税务机关采取强制执行措施时，对前款所列纳税人、扣缴义务人、纳税担保人未缴纳的滞纳金同时强制执行。个人及其所扶养家属维持生活必需的住房和用品，不在强制执行措施的范围之内”之规定强制执行。</w:t>
      </w:r>
    </w:p>
    <w:p>
      <w:pPr>
        <w:keepNext w:val="0"/>
        <w:keepLines w:val="0"/>
        <w:pageBreakBefore w:val="0"/>
        <w:widowControl w:val="0"/>
        <w:kinsoku/>
        <w:overflowPunct/>
        <w:topLinePunct w:val="0"/>
        <w:autoSpaceDE/>
        <w:autoSpaceDN/>
        <w:bidi w:val="0"/>
        <w:adjustRightInd/>
        <w:spacing w:line="560" w:lineRule="exact"/>
        <w:ind w:firstLine="640" w:firstLineChars="200"/>
        <w:jc w:val="left"/>
        <w:textAlignment w:val="auto"/>
        <w:rPr>
          <w:rFonts w:hint="eastAsia" w:ascii="仿宋_GB2312" w:hAnsi="仿宋" w:eastAsia="仿宋_GB2312"/>
          <w:sz w:val="32"/>
          <w:szCs w:val="32"/>
        </w:rPr>
      </w:pPr>
      <w:r>
        <w:rPr>
          <w:rFonts w:hint="eastAsia" w:ascii="仿宋_GB2312" w:eastAsia="仿宋_GB2312"/>
          <w:color w:val="000000"/>
          <w:sz w:val="32"/>
          <w:szCs w:val="32"/>
        </w:rPr>
        <w:t>你单位若同我局在纳税上有争议，必须先依照本决定的期限缴纳税款及滞纳金或者提供相应的担保，然后可自上述款项缴清或者提供相应担保被税务机关确认之日起六十日内依法向</w:t>
      </w:r>
      <w:r>
        <w:rPr>
          <w:rFonts w:hint="eastAsia" w:ascii="仿宋_GB2312" w:hAnsi="仿宋_GB2312" w:eastAsia="仿宋_GB2312" w:cs="仿宋_GB2312"/>
          <w:sz w:val="32"/>
          <w:szCs w:val="32"/>
          <w:lang w:val="en-US" w:eastAsia="zh-CN"/>
        </w:rPr>
        <w:t>国家税务总局内蒙古自治区税务局</w:t>
      </w:r>
      <w:r>
        <w:rPr>
          <w:rFonts w:hint="eastAsia" w:ascii="仿宋_GB2312" w:hAnsi="仿宋" w:eastAsia="仿宋_GB2312"/>
          <w:sz w:val="32"/>
          <w:szCs w:val="32"/>
        </w:rPr>
        <w:t>申请行政复议。</w:t>
      </w:r>
    </w:p>
    <w:p>
      <w:pPr>
        <w:pStyle w:val="2"/>
        <w:rPr>
          <w:rFonts w:hint="eastAsia" w:ascii="仿宋_GB2312" w:hAnsi="仿宋" w:eastAsia="仿宋_GB2312"/>
          <w:sz w:val="32"/>
          <w:szCs w:val="32"/>
        </w:rPr>
      </w:pPr>
    </w:p>
    <w:p>
      <w:pPr>
        <w:rPr>
          <w:rFonts w:hint="eastAsia"/>
        </w:rPr>
      </w:pPr>
    </w:p>
    <w:p>
      <w:pPr>
        <w:keepNext w:val="0"/>
        <w:keepLines w:val="0"/>
        <w:pageBreakBefore w:val="0"/>
        <w:widowControl w:val="0"/>
        <w:kinsoku/>
        <w:wordWrap w:val="0"/>
        <w:overflowPunct/>
        <w:topLinePunct w:val="0"/>
        <w:autoSpaceDE/>
        <w:autoSpaceDN/>
        <w:bidi w:val="0"/>
        <w:adjustRightInd/>
        <w:spacing w:line="560" w:lineRule="exact"/>
        <w:ind w:right="840" w:rightChars="400"/>
        <w:jc w:val="center"/>
        <w:textAlignment w:val="auto"/>
        <w:rPr>
          <w:rFonts w:hint="eastAsia" w:ascii="仿宋_GB2312" w:hAnsi="仿宋" w:eastAsia="仿宋_GB2312"/>
          <w:sz w:val="32"/>
          <w:lang w:eastAsia="zh-CN"/>
        </w:rPr>
      </w:pPr>
      <w:r>
        <w:rPr>
          <w:rFonts w:hint="eastAsia" w:ascii="仿宋_GB2312" w:hAnsi="仿宋" w:eastAsia="仿宋_GB2312"/>
          <w:sz w:val="32"/>
          <w:lang w:val="en-US" w:eastAsia="zh-CN"/>
        </w:rPr>
        <w:t xml:space="preserve">            </w:t>
      </w:r>
      <w:r>
        <w:rPr>
          <w:rFonts w:hint="eastAsia" w:ascii="仿宋_GB2312" w:hAnsi="仿宋" w:eastAsia="仿宋_GB2312"/>
          <w:sz w:val="32"/>
          <w:lang w:eastAsia="zh-CN"/>
        </w:rPr>
        <w:t>国家税务总局鄂尔多斯市税务局稽查局</w:t>
      </w:r>
    </w:p>
    <w:p>
      <w:pPr>
        <w:keepNext w:val="0"/>
        <w:keepLines w:val="0"/>
        <w:pageBreakBefore w:val="0"/>
        <w:widowControl w:val="0"/>
        <w:kinsoku/>
        <w:wordWrap w:val="0"/>
        <w:overflowPunct/>
        <w:topLinePunct w:val="0"/>
        <w:autoSpaceDE/>
        <w:autoSpaceDN/>
        <w:bidi w:val="0"/>
        <w:adjustRightInd/>
        <w:spacing w:line="560" w:lineRule="exact"/>
        <w:ind w:right="840" w:rightChars="400" w:firstLine="3200" w:firstLineChars="1000"/>
        <w:jc w:val="both"/>
        <w:textAlignment w:val="auto"/>
        <w:rPr>
          <w:rFonts w:hint="eastAsia" w:ascii="仿宋_GB2312" w:hAnsi="仿宋" w:eastAsia="仿宋_GB2312"/>
          <w:sz w:val="32"/>
          <w:highlight w:val="none"/>
          <w:lang w:eastAsia="zh-CN"/>
        </w:rPr>
      </w:pPr>
      <w:r>
        <w:rPr>
          <w:rFonts w:hint="eastAsia" w:ascii="仿宋_GB2312" w:hAnsi="仿宋" w:eastAsia="仿宋_GB2312"/>
          <w:sz w:val="32"/>
          <w:highlight w:val="none"/>
          <w:lang w:val="en-US" w:eastAsia="zh-CN"/>
        </w:rPr>
        <w:t xml:space="preserve"> </w:t>
      </w:r>
      <w:r>
        <w:rPr>
          <w:rFonts w:hint="eastAsia" w:ascii="仿宋_GB2312" w:hAnsi="仿宋" w:eastAsia="仿宋_GB2312"/>
          <w:color w:val="auto"/>
          <w:sz w:val="32"/>
          <w:szCs w:val="32"/>
          <w:highlight w:val="none"/>
          <w:lang w:val="en-US" w:eastAsia="zh-CN"/>
        </w:rPr>
        <w:t>2025</w:t>
      </w:r>
      <w:r>
        <w:rPr>
          <w:rFonts w:hint="eastAsia" w:ascii="仿宋_GB2312" w:hAnsi="仿宋" w:eastAsia="仿宋_GB2312"/>
          <w:sz w:val="32"/>
          <w:highlight w:val="none"/>
          <w:lang w:eastAsia="zh-CN"/>
        </w:rPr>
        <w:t>年</w:t>
      </w:r>
      <w:r>
        <w:rPr>
          <w:rFonts w:hint="eastAsia" w:ascii="仿宋_GB2312" w:hAnsi="仿宋" w:eastAsia="仿宋_GB2312"/>
          <w:color w:val="auto"/>
          <w:sz w:val="32"/>
          <w:szCs w:val="32"/>
          <w:highlight w:val="none"/>
          <w:lang w:val="en-US" w:eastAsia="zh-CN"/>
        </w:rPr>
        <w:t>12</w:t>
      </w:r>
      <w:r>
        <w:rPr>
          <w:rFonts w:hint="eastAsia" w:ascii="仿宋_GB2312" w:hAnsi="仿宋" w:eastAsia="仿宋_GB2312"/>
          <w:sz w:val="32"/>
          <w:highlight w:val="none"/>
          <w:lang w:eastAsia="zh-CN"/>
        </w:rPr>
        <w:t>月</w:t>
      </w:r>
      <w:r>
        <w:rPr>
          <w:rFonts w:hint="eastAsia" w:ascii="仿宋_GB2312" w:hAnsi="仿宋" w:eastAsia="仿宋_GB2312"/>
          <w:sz w:val="32"/>
          <w:highlight w:val="none"/>
          <w:lang w:val="en-US" w:eastAsia="zh-CN"/>
        </w:rPr>
        <w:t>5</w:t>
      </w:r>
      <w:r>
        <w:rPr>
          <w:rFonts w:hint="eastAsia" w:ascii="仿宋_GB2312" w:hAnsi="仿宋" w:eastAsia="仿宋_GB2312"/>
          <w:sz w:val="32"/>
          <w:highlight w:val="none"/>
          <w:lang w:eastAsia="zh-CN"/>
        </w:rPr>
        <w:t>日</w:t>
      </w:r>
    </w:p>
    <w:p>
      <w:pPr>
        <w:keepNext w:val="0"/>
        <w:keepLines w:val="0"/>
        <w:pageBreakBefore w:val="0"/>
        <w:widowControl w:val="0"/>
        <w:kinsoku/>
        <w:overflowPunct/>
        <w:topLinePunct w:val="0"/>
        <w:autoSpaceDE/>
        <w:autoSpaceDN/>
        <w:bidi w:val="0"/>
        <w:adjustRightInd/>
        <w:spacing w:line="560" w:lineRule="exact"/>
        <w:ind w:right="640"/>
        <w:textAlignment w:val="auto"/>
        <w:rPr>
          <w:rFonts w:ascii="仿宋" w:hAnsi="仿宋" w:eastAsia="仿宋"/>
          <w:sz w:val="32"/>
        </w:rPr>
      </w:pPr>
    </w:p>
    <w:p>
      <w:pPr>
        <w:keepNext w:val="0"/>
        <w:keepLines w:val="0"/>
        <w:pageBreakBefore w:val="0"/>
        <w:widowControl w:val="0"/>
        <w:kinsoku/>
        <w:overflowPunct/>
        <w:topLinePunct w:val="0"/>
        <w:autoSpaceDE/>
        <w:autoSpaceDN/>
        <w:bidi w:val="0"/>
        <w:adjustRightInd/>
        <w:spacing w:line="560" w:lineRule="exact"/>
        <w:textAlignment w:val="auto"/>
      </w:pPr>
    </w:p>
    <w:p>
      <w:pPr>
        <w:ind w:firstLine="640" w:firstLineChars="200"/>
        <w:rPr>
          <w:rFonts w:hint="eastAsia" w:ascii="仿宋" w:hAnsi="仿宋" w:eastAsia="仿宋" w:cs="仿宋"/>
          <w:sz w:val="32"/>
          <w:szCs w:val="32"/>
        </w:rPr>
      </w:pPr>
    </w:p>
    <w:p>
      <w:pPr>
        <w:adjustRightInd w:val="0"/>
        <w:snapToGrid w:val="0"/>
        <w:spacing w:line="360" w:lineRule="auto"/>
        <w:jc w:val="both"/>
        <w:rPr>
          <w:rFonts w:hint="default" w:ascii="宋体" w:hAnsi="宋体"/>
          <w:b/>
          <w:spacing w:val="20"/>
          <w:sz w:val="44"/>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92692D"/>
    <w:multiLevelType w:val="singleLevel"/>
    <w:tmpl w:val="4392692D"/>
    <w:lvl w:ilvl="0" w:tentative="0">
      <w:start w:val="1"/>
      <w:numFmt w:val="japaneseCounting"/>
      <w:lvlText w:val="%1、"/>
      <w:lvlJc w:val="left"/>
      <w:pPr>
        <w:tabs>
          <w:tab w:val="left" w:pos="600"/>
        </w:tabs>
        <w:ind w:left="600" w:hanging="6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E85EC0"/>
    <w:rsid w:val="08DE539B"/>
    <w:rsid w:val="0CC30CCD"/>
    <w:rsid w:val="0CD61146"/>
    <w:rsid w:val="10010DE1"/>
    <w:rsid w:val="154F2A0D"/>
    <w:rsid w:val="17884342"/>
    <w:rsid w:val="1A8C5728"/>
    <w:rsid w:val="1B8141D5"/>
    <w:rsid w:val="1FC82BD8"/>
    <w:rsid w:val="1FFF598F"/>
    <w:rsid w:val="219917E1"/>
    <w:rsid w:val="2488171E"/>
    <w:rsid w:val="2ACA6FBC"/>
    <w:rsid w:val="2AE72BBF"/>
    <w:rsid w:val="2D862EE9"/>
    <w:rsid w:val="362F06E9"/>
    <w:rsid w:val="3B4F1F07"/>
    <w:rsid w:val="3B68392C"/>
    <w:rsid w:val="43E60E8A"/>
    <w:rsid w:val="4F826C6F"/>
    <w:rsid w:val="6A557D53"/>
    <w:rsid w:val="6C7E71BC"/>
    <w:rsid w:val="6DBF3EF8"/>
    <w:rsid w:val="6EAC4C56"/>
    <w:rsid w:val="709466F4"/>
    <w:rsid w:val="71493028"/>
    <w:rsid w:val="719F4758"/>
    <w:rsid w:val="77662D7B"/>
    <w:rsid w:val="788B3469"/>
    <w:rsid w:val="7E1D4EB9"/>
    <w:rsid w:val="7EB63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bCs/>
      <w:sz w:val="32"/>
      <w:szCs w:val="32"/>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customStyle="1" w:styleId="7">
    <w:name w:val="15"/>
    <w:basedOn w:val="6"/>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2023-11-24T01:01:00Z</dcterms:created>
  <dc:creator>Administrator</dc:creator>
  <cp:lastModifiedBy>Administrator</cp:lastModifiedBy>
  <cp:lastPrinted>2025-10-11T08:05:00Z</cp:lastPrinted>
  <dcterms:modified xsi:type="dcterms:W3CDTF">2026-02-26T08:53:56Z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