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0" w:leftChars="0" w:firstLine="0" w:firstLineChars="0"/>
        <w:jc w:val="center"/>
        <w:rPr>
          <w:rFonts w:hint="eastAsia"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国家税务总局二连浩特市税务局稽查局</w:t>
      </w:r>
    </w:p>
    <w:p>
      <w:pPr>
        <w:spacing w:line="240" w:lineRule="auto"/>
        <w:ind w:left="0" w:leftChars="0" w:firstLine="0" w:firstLineChars="0"/>
        <w:jc w:val="center"/>
        <w:rPr>
          <w:rFonts w:hint="eastAsia" w:ascii="方正小标宋简体" w:hAnsi="方正小标宋简体" w:eastAsia="方正小标宋简体" w:cs="方正小标宋简体"/>
          <w:color w:val="auto"/>
          <w:sz w:val="72"/>
          <w:szCs w:val="72"/>
        </w:rPr>
      </w:pPr>
      <w:r>
        <w:rPr>
          <w:rFonts w:hint="eastAsia" w:ascii="方正小标宋简体" w:hAnsi="方正小标宋简体" w:eastAsia="方正小标宋简体" w:cs="方正小标宋简体"/>
          <w:color w:val="auto"/>
          <w:sz w:val="72"/>
          <w:szCs w:val="72"/>
        </w:rPr>
        <w:t>税务处理决定书</w:t>
      </w:r>
    </w:p>
    <w:p>
      <w:pPr>
        <w:ind w:left="0" w:leftChars="0" w:firstLine="0" w:firstLineChars="0"/>
        <w:jc w:val="center"/>
        <w:rPr>
          <w:rFonts w:hint="eastAsia"/>
          <w:color w:val="auto"/>
        </w:rPr>
      </w:pPr>
      <w:r>
        <w:rPr>
          <w:rFonts w:hint="eastAsia"/>
          <w:color w:val="auto"/>
        </w:rPr>
        <w:t>二税稽处〔2025〕</w:t>
      </w:r>
      <w:r>
        <w:rPr>
          <w:rFonts w:hint="eastAsia"/>
          <w:color w:val="auto"/>
          <w:highlight w:val="none"/>
          <w:lang w:val="en-US" w:eastAsia="zh-CN"/>
        </w:rPr>
        <w:t>12</w:t>
      </w:r>
      <w:r>
        <w:rPr>
          <w:rFonts w:hint="eastAsia"/>
          <w:color w:val="auto"/>
        </w:rPr>
        <w:t>号</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olor w:val="auto"/>
        </w:rPr>
      </w:pPr>
      <w:r>
        <w:rPr>
          <w:rFonts w:hint="eastAsia" w:ascii="仿宋_GB2312" w:hAnsi="仿宋_GB2312" w:eastAsia="仿宋_GB2312" w:cs="仿宋_GB2312"/>
          <w:color w:val="auto"/>
          <w:spacing w:val="0"/>
          <w:kern w:val="21"/>
          <w:sz w:val="32"/>
          <w:szCs w:val="32"/>
          <w:lang w:val="zh-CN" w:eastAsia="zh-CN"/>
        </w:rPr>
        <mc:AlternateContent>
          <mc:Choice Requires="wps">
            <w:drawing>
              <wp:anchor distT="0" distB="0" distL="114300" distR="114300" simplePos="0" relativeHeight="251659264" behindDoc="0" locked="0" layoutInCell="1" allowOverlap="1">
                <wp:simplePos x="0" y="0"/>
                <wp:positionH relativeFrom="column">
                  <wp:posOffset>-107315</wp:posOffset>
                </wp:positionH>
                <wp:positionV relativeFrom="paragraph">
                  <wp:posOffset>179705</wp:posOffset>
                </wp:positionV>
                <wp:extent cx="5760085" cy="635"/>
                <wp:effectExtent l="0" t="20320" r="12065" b="36195"/>
                <wp:wrapNone/>
                <wp:docPr id="1" name="直接连接符 1"/>
                <wp:cNvGraphicFramePr/>
                <a:graphic xmlns:a="http://schemas.openxmlformats.org/drawingml/2006/main">
                  <a:graphicData uri="http://schemas.microsoft.com/office/word/2010/wordprocessingShape">
                    <wps:wsp>
                      <wps:cNvCnPr/>
                      <wps:spPr>
                        <a:xfrm>
                          <a:off x="0" y="0"/>
                          <a:ext cx="5760085" cy="635"/>
                        </a:xfrm>
                        <a:prstGeom prst="line">
                          <a:avLst/>
                        </a:prstGeom>
                        <a:ln w="412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45pt;margin-top:14.15pt;height:0.05pt;width:453.55pt;z-index:251659264;mso-width-relative:page;mso-height-relative:page;" filled="f" stroked="t" coordsize="21600,21600" o:gfxdata="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i/gRdcAAAAJAQAADwAAAAAAAAABACAAAAAiAAAAZHJzL2Rvd25yZXYueG1sUEsB&#10;AhQAFAAAAAgAh07iQIq2MlX2AQAA5wMAAA4AAAAAAAAAAQAgAAAAJgEAAGRycy9lMm9Eb2MueG1s&#10;UEsFBgAAAAAGAAYAWQEAAI4FAAAAAA==&#10;">
                <v:fill on="f" focussize="0,0"/>
                <v:stroke weight="3.25pt" color="#000000" joinstyle="round"/>
                <v:imagedata o:title=""/>
                <o:lock v:ext="edit" aspectratio="f"/>
              </v:line>
            </w:pict>
          </mc:Fallback>
        </mc:AlternateContent>
      </w:r>
    </w:p>
    <w:p>
      <w:pPr>
        <w:keepNext w:val="0"/>
        <w:keepLines w:val="0"/>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eastAsia" w:eastAsia="仿宋_GB2312"/>
          <w:color w:val="auto"/>
          <w:lang w:eastAsia="zh-CN"/>
        </w:rPr>
      </w:pPr>
      <w:r>
        <w:rPr>
          <w:rFonts w:hint="eastAsia"/>
          <w:color w:val="auto"/>
          <w:lang w:val="en-US" w:eastAsia="zh-CN"/>
        </w:rPr>
        <w:t>内蒙古渝晟咏商贸有限公司</w:t>
      </w:r>
      <w:r>
        <w:rPr>
          <w:rFonts w:hint="eastAsia"/>
          <w:color w:val="auto"/>
        </w:rPr>
        <w:t>（纳税人识别号：</w:t>
      </w:r>
      <w:r>
        <w:rPr>
          <w:rFonts w:hint="eastAsia" w:ascii="仿宋_GB2312" w:hAnsi="仿宋" w:eastAsia="仿宋_GB2312"/>
          <w:sz w:val="32"/>
        </w:rPr>
        <w:t>91152501MAEW0KXQ9L</w:t>
      </w:r>
      <w:r>
        <w:rPr>
          <w:rFonts w:hint="eastAsia"/>
          <w:color w:val="auto"/>
        </w:rPr>
        <w:t>）</w:t>
      </w:r>
      <w:r>
        <w:rPr>
          <w:rFonts w:hint="eastAsia"/>
          <w:color w:val="auto"/>
          <w:lang w:eastAsia="zh-CN"/>
        </w:rPr>
        <w:t>：</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olor w:val="auto"/>
          <w:highlight w:val="none"/>
        </w:rPr>
      </w:pPr>
      <w:r>
        <w:rPr>
          <w:rFonts w:hint="eastAsia"/>
          <w:color w:val="auto"/>
          <w:highlight w:val="none"/>
        </w:rPr>
        <w:t>经我局于</w:t>
      </w:r>
      <w:r>
        <w:rPr>
          <w:rFonts w:hint="eastAsia" w:ascii="仿宋_GB2312" w:hAnsi="仿宋" w:eastAsia="仿宋_GB2312"/>
          <w:sz w:val="32"/>
          <w:highlight w:val="none"/>
          <w:lang w:val="en-US" w:eastAsia="zh-CN"/>
        </w:rPr>
        <w:t>2025</w:t>
      </w:r>
      <w:r>
        <w:rPr>
          <w:rFonts w:hint="eastAsia" w:ascii="仿宋_GB2312" w:hAnsi="仿宋" w:eastAsia="仿宋_GB2312"/>
          <w:sz w:val="32"/>
          <w:highlight w:val="none"/>
        </w:rPr>
        <w:t>年</w:t>
      </w:r>
      <w:r>
        <w:rPr>
          <w:rFonts w:hint="eastAsia" w:ascii="仿宋_GB2312" w:hAnsi="仿宋" w:eastAsia="仿宋_GB2312"/>
          <w:sz w:val="32"/>
          <w:highlight w:val="none"/>
          <w:lang w:val="en-US" w:eastAsia="zh-CN"/>
        </w:rPr>
        <w:t>9</w:t>
      </w:r>
      <w:r>
        <w:rPr>
          <w:rFonts w:hint="eastAsia" w:ascii="仿宋_GB2312" w:hAnsi="仿宋" w:eastAsia="仿宋_GB2312"/>
          <w:sz w:val="32"/>
          <w:highlight w:val="none"/>
        </w:rPr>
        <w:t>月</w:t>
      </w:r>
      <w:r>
        <w:rPr>
          <w:rFonts w:hint="eastAsia" w:ascii="仿宋_GB2312" w:hAnsi="仿宋" w:eastAsia="仿宋_GB2312"/>
          <w:sz w:val="32"/>
          <w:highlight w:val="none"/>
          <w:lang w:val="en-US" w:eastAsia="zh-CN"/>
        </w:rPr>
        <w:t>11</w:t>
      </w:r>
      <w:r>
        <w:rPr>
          <w:rFonts w:hint="eastAsia" w:ascii="仿宋_GB2312" w:hAnsi="仿宋" w:eastAsia="仿宋_GB2312"/>
          <w:sz w:val="32"/>
          <w:highlight w:val="none"/>
        </w:rPr>
        <w:t>日</w:t>
      </w:r>
      <w:r>
        <w:rPr>
          <w:rFonts w:hint="eastAsia"/>
          <w:color w:val="auto"/>
          <w:highlight w:val="none"/>
        </w:rPr>
        <w:t>至2025年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11</w:t>
      </w:r>
      <w:r>
        <w:rPr>
          <w:rFonts w:hint="eastAsia"/>
          <w:color w:val="auto"/>
          <w:highlight w:val="none"/>
        </w:rPr>
        <w:t>日对你公司（</w:t>
      </w:r>
      <w:r>
        <w:rPr>
          <w:rFonts w:hint="eastAsia" w:ascii="仿宋_GB2312" w:hAnsi="仿宋" w:eastAsia="仿宋_GB2312"/>
          <w:sz w:val="32"/>
        </w:rPr>
        <w:t>内蒙古自治区二连浩特市锡林区南环路北建设路西城建小区C段二期商业楼01014号</w:t>
      </w:r>
      <w:r>
        <w:rPr>
          <w:rFonts w:hint="eastAsia"/>
          <w:color w:val="auto"/>
          <w:highlight w:val="none"/>
        </w:rPr>
        <w:t>）</w:t>
      </w:r>
      <w:r>
        <w:rPr>
          <w:rFonts w:hint="eastAsia" w:ascii="仿宋_GB2312" w:hAnsi="仿宋" w:eastAsia="仿宋_GB2312"/>
          <w:color w:val="auto"/>
          <w:sz w:val="32"/>
          <w:highlight w:val="none"/>
          <w:lang w:val="en-US" w:eastAsia="zh-CN"/>
        </w:rPr>
        <w:t>2025</w:t>
      </w:r>
      <w:r>
        <w:rPr>
          <w:rFonts w:hint="eastAsia" w:ascii="仿宋_GB2312" w:hAnsi="仿宋" w:eastAsia="仿宋_GB2312"/>
          <w:color w:val="auto"/>
          <w:sz w:val="32"/>
          <w:highlight w:val="none"/>
        </w:rPr>
        <w:t>年</w:t>
      </w:r>
      <w:r>
        <w:rPr>
          <w:rFonts w:hint="eastAsia" w:ascii="仿宋_GB2312" w:hAnsi="仿宋" w:eastAsia="仿宋_GB2312"/>
          <w:color w:val="auto"/>
          <w:sz w:val="32"/>
          <w:highlight w:val="none"/>
          <w:lang w:val="en-US" w:eastAsia="zh-CN"/>
        </w:rPr>
        <w:t>9</w:t>
      </w:r>
      <w:r>
        <w:rPr>
          <w:rFonts w:hint="eastAsia" w:ascii="仿宋_GB2312" w:hAnsi="仿宋" w:eastAsia="仿宋_GB2312"/>
          <w:color w:val="auto"/>
          <w:sz w:val="32"/>
          <w:highlight w:val="none"/>
        </w:rPr>
        <w:t>月</w:t>
      </w:r>
      <w:r>
        <w:rPr>
          <w:rFonts w:hint="eastAsia" w:ascii="仿宋_GB2312" w:hAnsi="仿宋" w:eastAsia="仿宋_GB2312"/>
          <w:color w:val="auto"/>
          <w:sz w:val="32"/>
          <w:highlight w:val="none"/>
          <w:lang w:val="en-US" w:eastAsia="zh-CN"/>
        </w:rPr>
        <w:t>22</w:t>
      </w:r>
      <w:r>
        <w:rPr>
          <w:rFonts w:hint="eastAsia" w:ascii="仿宋_GB2312" w:hAnsi="仿宋" w:eastAsia="仿宋_GB2312"/>
          <w:color w:val="auto"/>
          <w:sz w:val="32"/>
          <w:highlight w:val="none"/>
        </w:rPr>
        <w:t>日至</w:t>
      </w:r>
      <w:bookmarkStart w:id="0" w:name="jcssqjz"/>
      <w:bookmarkEnd w:id="0"/>
      <w:r>
        <w:rPr>
          <w:rFonts w:hint="eastAsia" w:ascii="仿宋_GB2312" w:hAnsi="仿宋" w:eastAsia="仿宋_GB2312"/>
          <w:color w:val="auto"/>
          <w:sz w:val="32"/>
          <w:highlight w:val="none"/>
          <w:lang w:val="en-US" w:eastAsia="zh-CN"/>
        </w:rPr>
        <w:t>2025</w:t>
      </w:r>
      <w:r>
        <w:rPr>
          <w:rFonts w:hint="eastAsia" w:ascii="仿宋_GB2312" w:hAnsi="仿宋" w:eastAsia="仿宋_GB2312"/>
          <w:color w:val="auto"/>
          <w:sz w:val="32"/>
        </w:rPr>
        <w:t>年</w:t>
      </w:r>
      <w:r>
        <w:rPr>
          <w:rFonts w:hint="eastAsia" w:ascii="仿宋_GB2312" w:hAnsi="仿宋" w:eastAsia="仿宋_GB2312"/>
          <w:color w:val="auto"/>
          <w:sz w:val="32"/>
          <w:lang w:val="en-US" w:eastAsia="zh-CN"/>
        </w:rPr>
        <w:t>9</w:t>
      </w:r>
      <w:r>
        <w:rPr>
          <w:rFonts w:hint="eastAsia" w:ascii="仿宋_GB2312" w:hAnsi="仿宋" w:eastAsia="仿宋_GB2312"/>
          <w:color w:val="auto"/>
          <w:sz w:val="32"/>
        </w:rPr>
        <w:t>月</w:t>
      </w:r>
      <w:r>
        <w:rPr>
          <w:rFonts w:hint="eastAsia" w:ascii="仿宋_GB2312" w:hAnsi="仿宋" w:eastAsia="仿宋_GB2312"/>
          <w:color w:val="auto"/>
          <w:sz w:val="32"/>
          <w:lang w:val="en-US" w:eastAsia="zh-CN"/>
        </w:rPr>
        <w:t>29</w:t>
      </w:r>
      <w:r>
        <w:rPr>
          <w:rFonts w:hint="eastAsia" w:ascii="仿宋_GB2312" w:hAnsi="仿宋" w:eastAsia="仿宋_GB2312"/>
          <w:color w:val="auto"/>
          <w:sz w:val="32"/>
        </w:rPr>
        <w:t>日</w:t>
      </w:r>
      <w:r>
        <w:rPr>
          <w:rFonts w:hint="eastAsia" w:ascii="仿宋_GB2312" w:hAnsi="仿宋" w:eastAsia="仿宋_GB2312" w:cs="Times New Roman"/>
          <w:sz w:val="32"/>
          <w:highlight w:val="none"/>
          <w:lang w:val="en-US" w:eastAsia="zh-CN"/>
        </w:rPr>
        <w:t>涉嫌虚开发票的问题</w:t>
      </w:r>
      <w:r>
        <w:rPr>
          <w:rFonts w:hint="eastAsia"/>
          <w:color w:val="auto"/>
          <w:highlight w:val="none"/>
        </w:rPr>
        <w:t>进行了检查，违法事实及处理决定如下：</w:t>
      </w:r>
    </w:p>
    <w:p>
      <w:pPr>
        <w:pStyle w:val="2"/>
        <w:keepNext w:val="0"/>
        <w:keepLines w:val="0"/>
        <w:pageBreakBefore w:val="0"/>
        <w:widowControl w:val="0"/>
        <w:kinsoku/>
        <w:overflowPunct/>
        <w:topLinePunct w:val="0"/>
        <w:autoSpaceDE/>
        <w:autoSpaceDN/>
        <w:bidi w:val="0"/>
        <w:adjustRightInd/>
        <w:snapToGrid/>
        <w:spacing w:beforeLines="0" w:afterLines="0" w:line="560" w:lineRule="exact"/>
        <w:textAlignment w:val="auto"/>
        <w:rPr>
          <w:rFonts w:hint="eastAsia"/>
          <w:color w:val="auto"/>
        </w:rPr>
      </w:pPr>
      <w:r>
        <w:rPr>
          <w:rFonts w:hint="eastAsia"/>
          <w:color w:val="auto"/>
        </w:rPr>
        <w:t>违法事实</w:t>
      </w:r>
    </w:p>
    <w:p>
      <w:pPr>
        <w:keepNext w:val="0"/>
        <w:keepLines w:val="0"/>
        <w:pageBreakBefore w:val="0"/>
        <w:widowControl w:val="0"/>
        <w:kinsoku/>
        <w:wordWrap/>
        <w:overflowPunct/>
        <w:topLinePunct w:val="0"/>
        <w:autoSpaceDE/>
        <w:autoSpaceDN/>
        <w:bidi w:val="0"/>
        <w:adjustRightInd/>
        <w:snapToGrid/>
        <w:spacing w:beforeLines="0" w:afterLines="0"/>
        <w:ind w:left="0" w:leftChars="0" w:firstLine="640"/>
        <w:textAlignment w:val="auto"/>
        <w:rPr>
          <w:rFonts w:hint="eastAsia"/>
          <w:color w:val="auto"/>
          <w:lang w:val="en-US" w:eastAsia="zh-CN"/>
        </w:rPr>
      </w:pPr>
      <w:r>
        <w:rPr>
          <w:rFonts w:hint="eastAsia"/>
          <w:lang w:eastAsia="zh-CN"/>
        </w:rPr>
        <w:t>经查证，你公司</w:t>
      </w:r>
      <w:r>
        <w:rPr>
          <w:rFonts w:hint="eastAsia" w:ascii="仿宋_GB2312" w:hAnsi="Courier New" w:eastAsia="仿宋_GB2312" w:cs="Courier New"/>
          <w:bCs/>
          <w:kern w:val="0"/>
          <w:sz w:val="32"/>
          <w:szCs w:val="32"/>
          <w:highlight w:val="none"/>
          <w:lang w:val="zh-CN"/>
        </w:rPr>
        <w:t>于税务登记当日即</w:t>
      </w:r>
      <w:r>
        <w:rPr>
          <w:rFonts w:hint="eastAsia" w:ascii="仿宋_GB2312" w:hAnsi="Courier New" w:eastAsia="仿宋_GB2312" w:cs="Courier New"/>
          <w:bCs/>
          <w:kern w:val="0"/>
          <w:sz w:val="32"/>
          <w:szCs w:val="32"/>
          <w:highlight w:val="none"/>
          <w:lang w:val="en-US" w:eastAsia="zh-CN"/>
        </w:rPr>
        <w:t>2025年</w:t>
      </w:r>
      <w:r>
        <w:rPr>
          <w:rFonts w:hint="eastAsia" w:ascii="仿宋_GB2312" w:hAnsi="Courier New" w:eastAsia="仿宋_GB2312" w:cs="Courier New"/>
          <w:bCs/>
          <w:kern w:val="0"/>
          <w:sz w:val="32"/>
          <w:szCs w:val="32"/>
          <w:highlight w:val="none"/>
          <w:lang w:val="zh-CN"/>
        </w:rPr>
        <w:t>9月</w:t>
      </w:r>
      <w:r>
        <w:rPr>
          <w:rFonts w:hint="eastAsia" w:ascii="仿宋_GB2312" w:hAnsi="Courier New" w:eastAsia="仿宋_GB2312" w:cs="Courier New"/>
          <w:bCs/>
          <w:kern w:val="0"/>
          <w:sz w:val="32"/>
          <w:szCs w:val="32"/>
          <w:highlight w:val="none"/>
          <w:lang w:val="en-US" w:eastAsia="zh-CN"/>
        </w:rPr>
        <w:t>22</w:t>
      </w:r>
      <w:r>
        <w:rPr>
          <w:rFonts w:hint="eastAsia" w:ascii="仿宋_GB2312" w:hAnsi="Courier New" w:eastAsia="仿宋_GB2312" w:cs="Courier New"/>
          <w:bCs/>
          <w:kern w:val="0"/>
          <w:sz w:val="32"/>
          <w:szCs w:val="32"/>
          <w:highlight w:val="none"/>
          <w:lang w:val="zh-CN"/>
        </w:rPr>
        <w:t>日，</w:t>
      </w:r>
      <w:r>
        <w:rPr>
          <w:rFonts w:hint="eastAsia" w:hAnsi="Courier New" w:cs="Courier New"/>
          <w:bCs/>
          <w:kern w:val="0"/>
          <w:sz w:val="32"/>
          <w:szCs w:val="32"/>
          <w:highlight w:val="none"/>
          <w:lang w:val="zh-CN"/>
        </w:rPr>
        <w:t>在</w:t>
      </w:r>
      <w:r>
        <w:rPr>
          <w:rFonts w:hint="default" w:ascii="仿宋_GB2312" w:eastAsia="仿宋_GB2312"/>
          <w:sz w:val="32"/>
          <w:szCs w:val="32"/>
          <w:u w:val="none" w:color="auto"/>
          <w:lang w:val="en-US" w:eastAsia="zh-CN"/>
        </w:rPr>
        <w:t>与</w:t>
      </w:r>
      <w:r>
        <w:rPr>
          <w:rFonts w:hint="eastAsia" w:ascii="仿宋_GB2312" w:eastAsia="仿宋_GB2312"/>
          <w:sz w:val="32"/>
          <w:szCs w:val="32"/>
          <w:u w:val="none" w:color="auto"/>
          <w:lang w:val="en-US" w:eastAsia="zh-CN"/>
        </w:rPr>
        <w:t>1</w:t>
      </w:r>
      <w:r>
        <w:rPr>
          <w:rFonts w:hint="eastAsia"/>
          <w:sz w:val="32"/>
          <w:szCs w:val="32"/>
          <w:u w:val="none" w:color="auto"/>
          <w:lang w:val="en-US" w:eastAsia="zh-CN"/>
        </w:rPr>
        <w:t>0</w:t>
      </w:r>
      <w:r>
        <w:rPr>
          <w:rFonts w:hint="eastAsia" w:ascii="仿宋_GB2312" w:eastAsia="仿宋_GB2312"/>
          <w:sz w:val="32"/>
          <w:szCs w:val="32"/>
          <w:u w:val="none" w:color="auto"/>
          <w:lang w:val="en-US" w:eastAsia="zh-CN"/>
        </w:rPr>
        <w:t>家受票方企业</w:t>
      </w:r>
      <w:r>
        <w:rPr>
          <w:rFonts w:hint="default" w:ascii="仿宋_GB2312" w:eastAsia="仿宋_GB2312"/>
          <w:sz w:val="32"/>
          <w:szCs w:val="32"/>
          <w:u w:val="none" w:color="auto"/>
          <w:lang w:val="en-US" w:eastAsia="zh-CN"/>
        </w:rPr>
        <w:t>无真实业务情况</w:t>
      </w:r>
      <w:r>
        <w:rPr>
          <w:rFonts w:hint="eastAsia"/>
          <w:sz w:val="32"/>
          <w:szCs w:val="32"/>
          <w:u w:val="none" w:color="auto"/>
          <w:lang w:val="en-US" w:eastAsia="zh-CN"/>
        </w:rPr>
        <w:t>下</w:t>
      </w:r>
      <w:r>
        <w:rPr>
          <w:rFonts w:hint="default" w:ascii="仿宋_GB2312" w:eastAsia="仿宋_GB2312"/>
          <w:sz w:val="32"/>
          <w:szCs w:val="32"/>
          <w:u w:val="none" w:color="auto"/>
          <w:lang w:val="en-US" w:eastAsia="zh-CN"/>
        </w:rPr>
        <w:t>，为他人虚开</w:t>
      </w:r>
      <w:r>
        <w:rPr>
          <w:rFonts w:hint="eastAsia"/>
          <w:color w:val="auto"/>
          <w:lang w:val="en-US" w:eastAsia="zh-CN"/>
        </w:rPr>
        <w:t>电子发票（增值税普通发票）</w:t>
      </w:r>
      <w:r>
        <w:rPr>
          <w:rFonts w:hint="eastAsia" w:ascii="仿宋_GB2312" w:eastAsia="仿宋_GB2312"/>
          <w:sz w:val="32"/>
          <w:szCs w:val="32"/>
          <w:u w:val="none" w:color="auto"/>
          <w:lang w:val="en-US" w:eastAsia="zh-CN"/>
        </w:rPr>
        <w:t>1</w:t>
      </w:r>
      <w:r>
        <w:rPr>
          <w:rFonts w:hint="eastAsia"/>
          <w:sz w:val="32"/>
          <w:szCs w:val="32"/>
          <w:u w:val="none" w:color="auto"/>
          <w:lang w:val="en-US" w:eastAsia="zh-CN"/>
        </w:rPr>
        <w:t>6</w:t>
      </w:r>
      <w:r>
        <w:rPr>
          <w:rFonts w:hint="default" w:ascii="仿宋_GB2312" w:eastAsia="仿宋_GB2312"/>
          <w:sz w:val="32"/>
          <w:szCs w:val="32"/>
          <w:u w:val="none" w:color="auto"/>
          <w:lang w:val="en-US" w:eastAsia="zh-CN"/>
        </w:rPr>
        <w:t>份，</w:t>
      </w:r>
      <w:r>
        <w:rPr>
          <w:rFonts w:hint="eastAsia"/>
          <w:sz w:val="32"/>
          <w:szCs w:val="32"/>
          <w:u w:val="none" w:color="auto"/>
          <w:lang w:val="en-US" w:eastAsia="zh-CN"/>
        </w:rPr>
        <w:t>发票</w:t>
      </w:r>
      <w:r>
        <w:rPr>
          <w:rFonts w:hint="eastAsia" w:ascii="仿宋_GB2312" w:hAnsi="Courier New" w:eastAsia="仿宋_GB2312" w:cs="Courier New"/>
          <w:bCs/>
          <w:kern w:val="0"/>
          <w:sz w:val="32"/>
          <w:szCs w:val="32"/>
          <w:highlight w:val="none"/>
          <w:lang w:val="zh-CN"/>
        </w:rPr>
        <w:t>金额</w:t>
      </w:r>
      <w:r>
        <w:rPr>
          <w:rFonts w:hint="eastAsia" w:ascii="仿宋_GB2312" w:eastAsia="仿宋_GB2312"/>
          <w:sz w:val="32"/>
          <w:szCs w:val="32"/>
          <w:u w:val="none" w:color="auto"/>
          <w:lang w:val="en-US" w:eastAsia="zh-CN"/>
        </w:rPr>
        <w:t>1</w:t>
      </w:r>
      <w:r>
        <w:rPr>
          <w:rFonts w:hint="eastAsia"/>
          <w:sz w:val="32"/>
          <w:szCs w:val="32"/>
          <w:u w:val="none" w:color="auto"/>
          <w:lang w:val="en-US" w:eastAsia="zh-CN"/>
        </w:rPr>
        <w:t>,</w:t>
      </w:r>
      <w:r>
        <w:rPr>
          <w:rFonts w:hint="eastAsia" w:ascii="仿宋_GB2312" w:eastAsia="仿宋_GB2312"/>
          <w:sz w:val="32"/>
          <w:szCs w:val="32"/>
          <w:u w:val="none" w:color="auto"/>
          <w:lang w:val="en-US" w:eastAsia="zh-CN"/>
        </w:rPr>
        <w:t>199</w:t>
      </w:r>
      <w:r>
        <w:rPr>
          <w:rFonts w:hint="eastAsia"/>
          <w:sz w:val="32"/>
          <w:szCs w:val="32"/>
          <w:u w:val="none" w:color="auto"/>
          <w:lang w:val="en-US" w:eastAsia="zh-CN"/>
        </w:rPr>
        <w:t>,</w:t>
      </w:r>
      <w:r>
        <w:rPr>
          <w:rFonts w:hint="eastAsia" w:ascii="仿宋_GB2312" w:eastAsia="仿宋_GB2312"/>
          <w:sz w:val="32"/>
          <w:szCs w:val="32"/>
          <w:u w:val="none" w:color="auto"/>
          <w:lang w:val="en-US" w:eastAsia="zh-CN"/>
        </w:rPr>
        <w:t>274.13</w:t>
      </w:r>
      <w:r>
        <w:rPr>
          <w:rFonts w:hint="eastAsia" w:ascii="仿宋_GB2312" w:eastAsia="仿宋_GB2312"/>
          <w:sz w:val="32"/>
          <w:szCs w:val="32"/>
          <w:u w:val="none" w:color="auto"/>
          <w:lang w:val="zh-CN" w:eastAsia="zh-CN"/>
        </w:rPr>
        <w:t>元</w:t>
      </w:r>
      <w:r>
        <w:rPr>
          <w:rFonts w:hint="eastAsia" w:hAnsi="Courier New" w:cs="Courier New"/>
          <w:bCs/>
          <w:kern w:val="0"/>
          <w:sz w:val="32"/>
          <w:szCs w:val="32"/>
          <w:highlight w:val="none"/>
          <w:lang w:val="zh-CN"/>
        </w:rPr>
        <w:t>，</w:t>
      </w:r>
      <w:r>
        <w:rPr>
          <w:rFonts w:hint="default" w:ascii="仿宋_GB2312" w:hAnsi="Courier New" w:eastAsia="仿宋_GB2312" w:cs="Courier New"/>
          <w:bCs/>
          <w:kern w:val="0"/>
          <w:sz w:val="32"/>
          <w:szCs w:val="32"/>
          <w:highlight w:val="none"/>
          <w:lang w:val="en-US" w:eastAsia="zh-CN"/>
        </w:rPr>
        <w:t>税额</w:t>
      </w:r>
      <w:r>
        <w:rPr>
          <w:rFonts w:hint="eastAsia" w:ascii="仿宋_GB2312" w:hAnsi="Courier New" w:eastAsia="仿宋_GB2312" w:cs="Courier New"/>
          <w:bCs/>
          <w:kern w:val="0"/>
          <w:sz w:val="32"/>
          <w:szCs w:val="32"/>
          <w:highlight w:val="none"/>
          <w:lang w:val="en-US" w:eastAsia="zh-CN"/>
        </w:rPr>
        <w:t>11</w:t>
      </w:r>
      <w:r>
        <w:rPr>
          <w:rFonts w:hint="eastAsia" w:hAnsi="Courier New" w:cs="Courier New"/>
          <w:bCs/>
          <w:kern w:val="0"/>
          <w:sz w:val="32"/>
          <w:szCs w:val="32"/>
          <w:highlight w:val="none"/>
          <w:lang w:val="en-US" w:eastAsia="zh-CN"/>
        </w:rPr>
        <w:t>,</w:t>
      </w:r>
      <w:r>
        <w:rPr>
          <w:rFonts w:hint="eastAsia" w:ascii="仿宋_GB2312" w:hAnsi="Courier New" w:eastAsia="仿宋_GB2312" w:cs="Courier New"/>
          <w:bCs/>
          <w:kern w:val="0"/>
          <w:sz w:val="32"/>
          <w:szCs w:val="32"/>
          <w:highlight w:val="none"/>
          <w:lang w:val="en-US" w:eastAsia="zh-CN"/>
        </w:rPr>
        <w:t>992.74</w:t>
      </w:r>
      <w:r>
        <w:rPr>
          <w:rFonts w:hint="default" w:ascii="仿宋_GB2312" w:hAnsi="Courier New" w:eastAsia="仿宋_GB2312" w:cs="Courier New"/>
          <w:bCs/>
          <w:kern w:val="0"/>
          <w:sz w:val="32"/>
          <w:szCs w:val="32"/>
          <w:highlight w:val="none"/>
          <w:lang w:val="en-US" w:eastAsia="zh-CN"/>
        </w:rPr>
        <w:t>元</w:t>
      </w:r>
      <w:r>
        <w:rPr>
          <w:rFonts w:hint="eastAsia" w:hAnsi="宋体"/>
          <w:color w:val="auto"/>
          <w:sz w:val="32"/>
          <w:szCs w:val="32"/>
          <w:lang w:val="en-US" w:eastAsia="zh-CN"/>
        </w:rPr>
        <w:t>，</w:t>
      </w:r>
      <w:r>
        <w:rPr>
          <w:rFonts w:hint="eastAsia" w:ascii="仿宋_GB2312" w:eastAsia="仿宋_GB2312"/>
          <w:sz w:val="32"/>
          <w:szCs w:val="32"/>
          <w:u w:val="none" w:color="auto"/>
          <w:lang w:val="en-US" w:eastAsia="zh-CN"/>
        </w:rPr>
        <w:t>价税合计1</w:t>
      </w:r>
      <w:r>
        <w:rPr>
          <w:rFonts w:hint="eastAsia"/>
          <w:sz w:val="32"/>
          <w:szCs w:val="32"/>
          <w:u w:val="none" w:color="auto"/>
          <w:lang w:val="en-US" w:eastAsia="zh-CN"/>
        </w:rPr>
        <w:t>,</w:t>
      </w:r>
      <w:r>
        <w:rPr>
          <w:rFonts w:hint="eastAsia" w:ascii="仿宋_GB2312" w:eastAsia="仿宋_GB2312"/>
          <w:sz w:val="32"/>
          <w:szCs w:val="32"/>
          <w:u w:val="none" w:color="auto"/>
          <w:lang w:val="en-US" w:eastAsia="zh-CN"/>
        </w:rPr>
        <w:t>211</w:t>
      </w:r>
      <w:r>
        <w:rPr>
          <w:rFonts w:hint="eastAsia"/>
          <w:sz w:val="32"/>
          <w:szCs w:val="32"/>
          <w:u w:val="none" w:color="auto"/>
          <w:lang w:val="en-US" w:eastAsia="zh-CN"/>
        </w:rPr>
        <w:t>,</w:t>
      </w:r>
      <w:r>
        <w:rPr>
          <w:rFonts w:hint="eastAsia" w:ascii="仿宋_GB2312" w:eastAsia="仿宋_GB2312"/>
          <w:sz w:val="32"/>
          <w:szCs w:val="32"/>
          <w:u w:val="none" w:color="auto"/>
          <w:lang w:val="en-US" w:eastAsia="zh-CN"/>
        </w:rPr>
        <w:t>266.87元</w:t>
      </w:r>
      <w:r>
        <w:rPr>
          <w:rFonts w:hint="eastAsia"/>
          <w:sz w:val="32"/>
          <w:szCs w:val="32"/>
          <w:u w:val="none" w:color="auto"/>
          <w:lang w:val="en-US" w:eastAsia="zh-CN"/>
        </w:rPr>
        <w:t>。</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lang w:eastAsia="zh-CN"/>
        </w:rPr>
      </w:pPr>
      <w:r>
        <w:rPr>
          <w:rFonts w:hint="eastAsia"/>
          <w:color w:val="auto"/>
          <w:lang w:eastAsia="zh-CN"/>
        </w:rPr>
        <w:t>上述违法事</w:t>
      </w:r>
      <w:r>
        <w:rPr>
          <w:rFonts w:hint="eastAsia"/>
          <w:lang w:eastAsia="zh-CN"/>
        </w:rPr>
        <w:t>实，主要有以下证据证明：</w:t>
      </w:r>
    </w:p>
    <w:p>
      <w:pPr>
        <w:numPr>
          <w:ilvl w:val="-1"/>
          <w:numId w:val="0"/>
        </w:numPr>
        <w:spacing w:beforeLines="0" w:afterLines="0"/>
        <w:ind w:left="0" w:firstLine="640"/>
        <w:rPr>
          <w:rFonts w:hint="eastAsia" w:ascii="仿宋_GB2312" w:hAnsi="宋体" w:eastAsia="仿宋_GB2312"/>
          <w:color w:val="auto"/>
          <w:sz w:val="32"/>
          <w:szCs w:val="32"/>
          <w:lang w:val="en-US" w:eastAsia="zh-CN"/>
        </w:rPr>
      </w:pPr>
      <w:r>
        <w:rPr>
          <w:rFonts w:hint="eastAsia"/>
          <w:color w:val="auto"/>
          <w:lang w:val="en-US" w:eastAsia="zh-CN"/>
        </w:rPr>
        <w:t>证据一：</w:t>
      </w:r>
      <w:r>
        <w:rPr>
          <w:rFonts w:hint="eastAsia" w:ascii="仿宋_GB2312" w:hAnsi="宋体" w:eastAsia="仿宋_GB2312"/>
          <w:color w:val="auto"/>
          <w:sz w:val="32"/>
          <w:szCs w:val="32"/>
          <w:lang w:val="en-US" w:eastAsia="zh-CN"/>
        </w:rPr>
        <w:t>对企业生产经营地址的现场笔录</w:t>
      </w:r>
    </w:p>
    <w:p>
      <w:pPr>
        <w:numPr>
          <w:ilvl w:val="-1"/>
          <w:numId w:val="0"/>
        </w:numPr>
        <w:spacing w:beforeLines="0" w:afterLines="0" w:line="560" w:lineRule="exact"/>
        <w:ind w:left="0" w:firstLine="640" w:firstLineChars="200"/>
        <w:outlineLvl w:val="9"/>
        <w:rPr>
          <w:rFonts w:hint="eastAsia" w:ascii="仿宋_GB2312" w:hAnsi="宋体" w:eastAsia="仿宋_GB2312"/>
          <w:color w:val="auto"/>
          <w:sz w:val="32"/>
          <w:szCs w:val="32"/>
          <w:lang w:val="en-US" w:eastAsia="zh-CN"/>
        </w:rPr>
      </w:pPr>
      <w:r>
        <w:rPr>
          <w:rFonts w:hint="eastAsia"/>
          <w:color w:val="auto"/>
          <w:lang w:val="en-US" w:eastAsia="zh-CN"/>
        </w:rPr>
        <w:t>证据二：</w:t>
      </w:r>
      <w:r>
        <w:rPr>
          <w:rFonts w:hint="eastAsia" w:ascii="仿宋_GB2312" w:hAnsi="宋体" w:eastAsia="仿宋_GB2312"/>
          <w:color w:val="auto"/>
          <w:sz w:val="32"/>
          <w:szCs w:val="32"/>
          <w:lang w:val="en-US" w:eastAsia="zh-CN"/>
        </w:rPr>
        <w:t>企业浏览器指纹码</w:t>
      </w:r>
    </w:p>
    <w:p>
      <w:pPr>
        <w:numPr>
          <w:ilvl w:val="-1"/>
          <w:numId w:val="0"/>
        </w:numPr>
        <w:spacing w:beforeLines="0" w:afterLines="0" w:line="560" w:lineRule="exact"/>
        <w:ind w:left="0" w:firstLine="640"/>
        <w:outlineLvl w:val="9"/>
        <w:rPr>
          <w:rFonts w:hint="eastAsia" w:ascii="仿宋_GB2312" w:hAnsi="宋体" w:eastAsia="仿宋_GB2312"/>
          <w:color w:val="auto"/>
          <w:sz w:val="32"/>
          <w:szCs w:val="32"/>
          <w:lang w:val="en-US" w:eastAsia="zh-CN"/>
        </w:rPr>
      </w:pPr>
      <w:r>
        <w:rPr>
          <w:rFonts w:hint="eastAsia"/>
          <w:color w:val="auto"/>
          <w:lang w:val="en-US" w:eastAsia="zh-CN"/>
        </w:rPr>
        <w:t>证据三：</w:t>
      </w:r>
      <w:r>
        <w:rPr>
          <w:rFonts w:hint="eastAsia" w:ascii="仿宋_GB2312" w:hAnsi="宋体" w:eastAsia="仿宋_GB2312"/>
          <w:color w:val="auto"/>
          <w:sz w:val="32"/>
          <w:szCs w:val="32"/>
          <w:lang w:val="en-US" w:eastAsia="zh-CN"/>
        </w:rPr>
        <w:t>公司公户及</w:t>
      </w:r>
      <w:r>
        <w:rPr>
          <w:rFonts w:hint="eastAsia" w:hAnsi="宋体"/>
          <w:color w:val="auto"/>
          <w:sz w:val="32"/>
          <w:szCs w:val="32"/>
          <w:lang w:val="en-US" w:eastAsia="zh-CN"/>
        </w:rPr>
        <w:t>法定代表人</w:t>
      </w:r>
      <w:r>
        <w:rPr>
          <w:rFonts w:hint="eastAsia" w:ascii="仿宋_GB2312" w:hAnsi="宋体" w:eastAsia="仿宋_GB2312"/>
          <w:color w:val="auto"/>
          <w:sz w:val="32"/>
          <w:szCs w:val="32"/>
          <w:lang w:val="en-US" w:eastAsia="zh-CN"/>
        </w:rPr>
        <w:t>侯萌的银行账户交易明细查询</w:t>
      </w:r>
    </w:p>
    <w:p>
      <w:pPr>
        <w:pStyle w:val="2"/>
        <w:keepNext w:val="0"/>
        <w:keepLines w:val="0"/>
        <w:pageBreakBefore w:val="0"/>
        <w:widowControl w:val="0"/>
        <w:kinsoku/>
        <w:overflowPunct/>
        <w:topLinePunct w:val="0"/>
        <w:autoSpaceDE/>
        <w:autoSpaceDN/>
        <w:bidi w:val="0"/>
        <w:adjustRightInd/>
        <w:snapToGrid/>
        <w:spacing w:beforeLines="0" w:afterLines="0" w:line="560" w:lineRule="exact"/>
        <w:textAlignment w:val="auto"/>
        <w:rPr>
          <w:rFonts w:hint="eastAsia"/>
          <w:color w:val="auto"/>
        </w:rPr>
      </w:pPr>
      <w:r>
        <w:rPr>
          <w:rFonts w:hint="eastAsia"/>
          <w:color w:val="auto"/>
        </w:rPr>
        <w:t>处理决定及依据</w:t>
      </w:r>
    </w:p>
    <w:p>
      <w:pPr>
        <w:pStyle w:val="3"/>
        <w:keepNext w:val="0"/>
        <w:keepLines w:val="0"/>
        <w:pageBreakBefore w:val="0"/>
        <w:widowControl w:val="0"/>
        <w:numPr>
          <w:ilvl w:val="0"/>
          <w:numId w:val="2"/>
        </w:numPr>
        <w:kinsoku/>
        <w:wordWrap/>
        <w:overflowPunct/>
        <w:topLinePunct w:val="0"/>
        <w:autoSpaceDE/>
        <w:autoSpaceDN/>
        <w:bidi w:val="0"/>
        <w:adjustRightInd/>
        <w:snapToGrid/>
        <w:spacing w:beforeLines="0" w:afterLines="0"/>
        <w:ind w:leftChars="0" w:firstLine="643" w:firstLineChars="200"/>
        <w:textAlignment w:val="auto"/>
        <w:rPr>
          <w:rFonts w:hint="eastAsia"/>
          <w:color w:val="auto"/>
        </w:rPr>
      </w:pPr>
      <w:r>
        <w:rPr>
          <w:rFonts w:hint="eastAsia"/>
          <w:color w:val="auto"/>
        </w:rPr>
        <w:t>违法行为定性意见及依据</w:t>
      </w:r>
    </w:p>
    <w:p>
      <w:pPr>
        <w:numPr>
          <w:ilvl w:val="0"/>
          <w:numId w:val="0"/>
        </w:numPr>
        <w:spacing w:beforeLines="0" w:afterLines="0"/>
        <w:ind w:firstLine="640" w:firstLineChars="200"/>
        <w:rPr>
          <w:rFonts w:hint="eastAsia"/>
          <w:color w:val="auto"/>
          <w:lang w:val="en-US" w:eastAsia="zh-CN"/>
        </w:rPr>
      </w:pPr>
      <w:r>
        <w:rPr>
          <w:rFonts w:hint="eastAsia"/>
          <w:sz w:val="32"/>
          <w:szCs w:val="32"/>
          <w:u w:val="none" w:color="auto"/>
          <w:lang w:val="en-US" w:eastAsia="zh-CN"/>
        </w:rPr>
        <w:t>你</w:t>
      </w:r>
      <w:r>
        <w:rPr>
          <w:rFonts w:hint="default" w:ascii="仿宋_GB2312" w:eastAsia="仿宋_GB2312"/>
          <w:sz w:val="32"/>
          <w:szCs w:val="32"/>
          <w:u w:val="none" w:color="auto"/>
          <w:lang w:val="en-US" w:eastAsia="zh-CN"/>
        </w:rPr>
        <w:t>公司与</w:t>
      </w:r>
      <w:r>
        <w:rPr>
          <w:rFonts w:hint="eastAsia" w:ascii="仿宋_GB2312" w:eastAsia="仿宋_GB2312"/>
          <w:sz w:val="32"/>
          <w:szCs w:val="32"/>
          <w:u w:val="none" w:color="auto"/>
          <w:lang w:val="en-US" w:eastAsia="zh-CN"/>
        </w:rPr>
        <w:t>1</w:t>
      </w:r>
      <w:r>
        <w:rPr>
          <w:rFonts w:hint="eastAsia"/>
          <w:sz w:val="32"/>
          <w:szCs w:val="32"/>
          <w:u w:val="none" w:color="auto"/>
          <w:lang w:val="en-US" w:eastAsia="zh-CN"/>
        </w:rPr>
        <w:t>0</w:t>
      </w:r>
      <w:r>
        <w:rPr>
          <w:rFonts w:hint="eastAsia" w:ascii="仿宋_GB2312" w:eastAsia="仿宋_GB2312"/>
          <w:sz w:val="32"/>
          <w:szCs w:val="32"/>
          <w:u w:val="none" w:color="auto"/>
          <w:lang w:val="en-US" w:eastAsia="zh-CN"/>
        </w:rPr>
        <w:t>家受票方企业</w:t>
      </w:r>
      <w:r>
        <w:rPr>
          <w:rFonts w:hint="default" w:ascii="仿宋_GB2312" w:eastAsia="仿宋_GB2312"/>
          <w:sz w:val="32"/>
          <w:szCs w:val="32"/>
          <w:u w:val="none" w:color="auto"/>
          <w:lang w:val="en-US" w:eastAsia="zh-CN"/>
        </w:rPr>
        <w:t>无真实业务情况</w:t>
      </w:r>
      <w:r>
        <w:rPr>
          <w:rFonts w:hint="eastAsia"/>
          <w:sz w:val="32"/>
          <w:szCs w:val="32"/>
          <w:u w:val="none" w:color="auto"/>
          <w:lang w:val="en-US" w:eastAsia="zh-CN"/>
        </w:rPr>
        <w:t>下</w:t>
      </w:r>
      <w:r>
        <w:rPr>
          <w:rFonts w:hint="default" w:ascii="仿宋_GB2312" w:eastAsia="仿宋_GB2312"/>
          <w:sz w:val="32"/>
          <w:szCs w:val="32"/>
          <w:u w:val="none" w:color="auto"/>
          <w:lang w:val="en-US" w:eastAsia="zh-CN"/>
        </w:rPr>
        <w:t>，为他人虚开</w:t>
      </w:r>
      <w:r>
        <w:rPr>
          <w:rFonts w:hint="eastAsia"/>
          <w:color w:val="auto"/>
          <w:lang w:val="en-US" w:eastAsia="zh-CN"/>
        </w:rPr>
        <w:t>电子发票（增值税普通发票）</w:t>
      </w:r>
      <w:r>
        <w:rPr>
          <w:rFonts w:hint="eastAsia"/>
          <w:sz w:val="32"/>
          <w:szCs w:val="32"/>
          <w:u w:val="none" w:color="auto"/>
          <w:lang w:val="en-US" w:eastAsia="zh-CN"/>
        </w:rPr>
        <w:t>16</w:t>
      </w:r>
      <w:r>
        <w:rPr>
          <w:rFonts w:hint="default" w:ascii="仿宋_GB2312" w:eastAsia="仿宋_GB2312"/>
          <w:sz w:val="32"/>
          <w:szCs w:val="32"/>
          <w:u w:val="none" w:color="auto"/>
          <w:lang w:val="en-US" w:eastAsia="zh-CN"/>
        </w:rPr>
        <w:t>份</w:t>
      </w:r>
      <w:r>
        <w:rPr>
          <w:rFonts w:hint="eastAsia" w:ascii="仿宋_GB2312" w:hAnsi="Courier New" w:eastAsia="仿宋_GB2312" w:cs="Courier New"/>
          <w:bCs/>
          <w:kern w:val="0"/>
          <w:sz w:val="32"/>
          <w:szCs w:val="32"/>
          <w:highlight w:val="none"/>
          <w:lang w:val="zh-CN"/>
        </w:rPr>
        <w:t>，</w:t>
      </w:r>
      <w:r>
        <w:rPr>
          <w:rFonts w:hint="eastAsia"/>
          <w:color w:val="auto"/>
        </w:rPr>
        <w:t>发票金额</w:t>
      </w:r>
      <w:r>
        <w:rPr>
          <w:rFonts w:hint="eastAsia" w:ascii="仿宋_GB2312" w:eastAsia="仿宋_GB2312"/>
          <w:sz w:val="32"/>
          <w:szCs w:val="32"/>
          <w:u w:val="none" w:color="auto"/>
          <w:lang w:val="en-US" w:eastAsia="zh-CN"/>
        </w:rPr>
        <w:t>1</w:t>
      </w:r>
      <w:r>
        <w:rPr>
          <w:rFonts w:hint="eastAsia"/>
          <w:sz w:val="32"/>
          <w:szCs w:val="32"/>
          <w:u w:val="none" w:color="auto"/>
          <w:lang w:val="en-US" w:eastAsia="zh-CN"/>
        </w:rPr>
        <w:t>,</w:t>
      </w:r>
      <w:r>
        <w:rPr>
          <w:rFonts w:hint="eastAsia" w:ascii="仿宋_GB2312" w:eastAsia="仿宋_GB2312"/>
          <w:sz w:val="32"/>
          <w:szCs w:val="32"/>
          <w:u w:val="none" w:color="auto"/>
          <w:lang w:val="en-US" w:eastAsia="zh-CN"/>
        </w:rPr>
        <w:t>199</w:t>
      </w:r>
      <w:r>
        <w:rPr>
          <w:rFonts w:hint="eastAsia"/>
          <w:sz w:val="32"/>
          <w:szCs w:val="32"/>
          <w:u w:val="none" w:color="auto"/>
          <w:lang w:val="en-US" w:eastAsia="zh-CN"/>
        </w:rPr>
        <w:t>,</w:t>
      </w:r>
      <w:r>
        <w:rPr>
          <w:rFonts w:hint="eastAsia" w:ascii="仿宋_GB2312" w:eastAsia="仿宋_GB2312"/>
          <w:sz w:val="32"/>
          <w:szCs w:val="32"/>
          <w:u w:val="none" w:color="auto"/>
          <w:lang w:val="en-US" w:eastAsia="zh-CN"/>
        </w:rPr>
        <w:t>274.13</w:t>
      </w:r>
      <w:r>
        <w:rPr>
          <w:rFonts w:hint="eastAsia" w:hAnsi="Courier New" w:cs="Courier New"/>
          <w:bCs/>
          <w:kern w:val="0"/>
          <w:sz w:val="32"/>
          <w:szCs w:val="32"/>
          <w:highlight w:val="none"/>
          <w:lang w:val="en-US" w:eastAsia="zh-CN"/>
        </w:rPr>
        <w:t>元</w:t>
      </w:r>
      <w:r>
        <w:rPr>
          <w:rFonts w:hint="eastAsia"/>
          <w:sz w:val="32"/>
          <w:szCs w:val="32"/>
          <w:u w:val="none" w:color="auto"/>
          <w:lang w:val="en-US" w:eastAsia="zh-CN"/>
        </w:rPr>
        <w:t>。</w:t>
      </w:r>
      <w:r>
        <w:rPr>
          <w:rFonts w:hint="eastAsia"/>
          <w:color w:val="auto"/>
          <w:lang w:val="en-US" w:eastAsia="zh-CN"/>
        </w:rPr>
        <w:t>依据《中华人民共和国发票管理办法》（2023年第三次修订）第二十一条第二款：“任何单位和个人不得有下列虚开发票行为：（一）为他人、为自己开具与实际经营业务情况不符的发票；（二）让他人为自己开具与实际经营业务情况不符的发票；（三）介绍他人开具与实际经营业务情况不符的发票。”之规定，定性为虚开发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3" w:firstLineChars="200"/>
        <w:jc w:val="both"/>
        <w:textAlignment w:val="auto"/>
        <w:rPr>
          <w:rFonts w:hint="eastAsia" w:ascii="仿宋_GB2312" w:hAnsi="仿宋_GB2312" w:eastAsia="仿宋_GB2312" w:cs="仿宋_GB2312"/>
          <w:b/>
          <w:color w:val="auto"/>
          <w:kern w:val="2"/>
          <w:sz w:val="32"/>
          <w:szCs w:val="32"/>
          <w:lang w:val="en-US" w:eastAsia="zh-CN" w:bidi="ar-SA"/>
        </w:rPr>
      </w:pPr>
      <w:r>
        <w:rPr>
          <w:rFonts w:hint="eastAsia" w:ascii="仿宋_GB2312" w:hAnsi="仿宋_GB2312" w:eastAsia="仿宋_GB2312" w:cs="仿宋_GB2312"/>
          <w:b/>
          <w:color w:val="auto"/>
          <w:kern w:val="2"/>
          <w:sz w:val="32"/>
          <w:szCs w:val="32"/>
          <w:lang w:val="en-US" w:eastAsia="zh-CN" w:bidi="ar-SA"/>
        </w:rPr>
        <w:t>（二）移送司法机关的建议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宋体" w:eastAsia="仿宋_GB2312"/>
          <w:color w:val="auto"/>
          <w:sz w:val="32"/>
          <w:szCs w:val="32"/>
          <w:lang w:val="zh-CN" w:eastAsia="zh-CN"/>
        </w:rPr>
      </w:pPr>
      <w:r>
        <w:rPr>
          <w:rFonts w:hint="eastAsia" w:hAnsi="宋体"/>
          <w:color w:val="auto"/>
          <w:sz w:val="32"/>
          <w:szCs w:val="32"/>
          <w:lang w:val="en-US" w:eastAsia="zh-CN"/>
        </w:rPr>
        <w:t>你</w:t>
      </w:r>
      <w:r>
        <w:rPr>
          <w:rFonts w:hint="default" w:ascii="仿宋_GB2312" w:hAnsi="宋体" w:eastAsia="仿宋_GB2312"/>
          <w:color w:val="auto"/>
          <w:sz w:val="32"/>
          <w:szCs w:val="32"/>
          <w:lang w:val="en-US" w:eastAsia="zh-CN"/>
        </w:rPr>
        <w:t>公司违法事实虚开发票金额累计</w:t>
      </w:r>
      <w:r>
        <w:rPr>
          <w:rFonts w:hint="default" w:ascii="仿宋_GB2312" w:hAnsi="宋体" w:eastAsia="仿宋_GB2312" w:cstheme="minorBidi"/>
          <w:b w:val="0"/>
          <w:bCs w:val="0"/>
          <w:color w:val="auto"/>
          <w:kern w:val="2"/>
          <w:sz w:val="32"/>
          <w:szCs w:val="32"/>
          <w:lang w:val="en-US" w:eastAsia="zh-CN"/>
        </w:rPr>
        <w:t>1,198,928.76</w:t>
      </w:r>
      <w:r>
        <w:rPr>
          <w:rFonts w:hint="eastAsia" w:ascii="仿宋_GB2312" w:hAnsi="宋体" w:eastAsia="仿宋_GB2312" w:cstheme="minorBidi"/>
          <w:b w:val="0"/>
          <w:bCs w:val="0"/>
          <w:color w:val="auto"/>
          <w:kern w:val="2"/>
          <w:sz w:val="32"/>
          <w:szCs w:val="32"/>
          <w:lang w:val="en-US" w:eastAsia="zh-CN"/>
        </w:rPr>
        <w:t>元</w:t>
      </w:r>
      <w:r>
        <w:rPr>
          <w:rFonts w:hint="eastAsia" w:ascii="仿宋_GB2312" w:hAnsi="宋体" w:eastAsia="仿宋_GB2312"/>
          <w:color w:val="auto"/>
          <w:sz w:val="32"/>
          <w:szCs w:val="32"/>
          <w:lang w:val="en-US" w:eastAsia="zh-CN"/>
        </w:rPr>
        <w:t>。</w:t>
      </w:r>
      <w:r>
        <w:rPr>
          <w:rFonts w:hint="default" w:ascii="仿宋_GB2312" w:hAnsi="宋体" w:eastAsia="仿宋_GB2312"/>
          <w:color w:val="auto"/>
          <w:sz w:val="32"/>
          <w:szCs w:val="32"/>
          <w:lang w:val="en-US" w:eastAsia="zh-CN"/>
        </w:rPr>
        <w:t>依据《中华人民共和国刑法》第二百零五条之一：“虚开本法第二百零五条规定以外的其他发票，情节严重的，处二年以下有期徒刑、拘役或者管制，并处罚金；情节特别严重的，处二年以上七年以下有期徒刑，并处罚金。单位犯前款罪的，对单位判处罚金，并对其直接负责的主管人员和其他直接责任人员，依照前款的规定处罚。”及《最高人民检察院 公安部关于公安机关管辖的刑事案件立案追诉标准的规定（二）》（公通字〔2022〕12号）第五十七条：“虚开发票案(刑法第二百零五条之一)〕虚开刑法第二百零五条规定以外的其他发票，涉嫌下列情形之一的，应予立案追诉：（一）虚开发票金额累计在五十万元以上的；（二）虚开发票一百份以上且票面金额在三十万元以上的；（三）五年内因虚开发票受过刑事处罚或者二次以上行政处罚，又虚开发票，数额达到第一、二项标准百分之六十以上的。”之规定，</w:t>
      </w:r>
      <w:r>
        <w:rPr>
          <w:rFonts w:hint="eastAsia" w:hAnsi="宋体"/>
          <w:color w:val="auto"/>
          <w:sz w:val="32"/>
          <w:szCs w:val="32"/>
          <w:lang w:val="en-US" w:eastAsia="zh-CN"/>
        </w:rPr>
        <w:t>你</w:t>
      </w:r>
      <w:r>
        <w:rPr>
          <w:rFonts w:hint="eastAsia" w:ascii="仿宋_GB2312" w:hAnsi="宋体" w:eastAsia="仿宋_GB2312"/>
          <w:color w:val="auto"/>
          <w:sz w:val="32"/>
          <w:szCs w:val="32"/>
          <w:lang w:val="zh-CN" w:eastAsia="zh-CN"/>
        </w:rPr>
        <w:t>公司上述违法事实已</w:t>
      </w:r>
      <w:r>
        <w:rPr>
          <w:rFonts w:hint="eastAsia" w:ascii="仿宋_GB2312" w:hAnsi="宋体" w:eastAsia="仿宋_GB2312"/>
          <w:color w:val="auto"/>
          <w:sz w:val="32"/>
          <w:szCs w:val="32"/>
          <w:lang w:val="en-US" w:eastAsia="zh-CN"/>
        </w:rPr>
        <w:t>涉嫌</w:t>
      </w:r>
      <w:r>
        <w:rPr>
          <w:rFonts w:hint="eastAsia" w:ascii="仿宋_GB2312" w:hAnsi="宋体" w:eastAsia="仿宋_GB2312"/>
          <w:color w:val="auto"/>
          <w:sz w:val="32"/>
          <w:szCs w:val="32"/>
          <w:lang w:val="zh-CN" w:eastAsia="zh-CN"/>
        </w:rPr>
        <w:t>构成</w:t>
      </w:r>
      <w:r>
        <w:rPr>
          <w:rFonts w:hint="eastAsia" w:ascii="仿宋_GB2312" w:hAnsi="宋体" w:eastAsia="仿宋_GB2312"/>
          <w:color w:val="auto"/>
          <w:sz w:val="32"/>
          <w:szCs w:val="32"/>
          <w:lang w:val="en-US" w:eastAsia="zh-CN"/>
        </w:rPr>
        <w:t>虚开发票</w:t>
      </w:r>
      <w:r>
        <w:rPr>
          <w:rFonts w:hint="eastAsia" w:ascii="仿宋_GB2312" w:hAnsi="宋体" w:eastAsia="仿宋_GB2312"/>
          <w:color w:val="auto"/>
          <w:sz w:val="32"/>
          <w:szCs w:val="32"/>
          <w:lang w:val="zh-CN" w:eastAsia="zh-CN"/>
        </w:rPr>
        <w:t>罪。</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color w:val="auto"/>
          <w:lang w:val="en-US" w:eastAsia="zh-CN"/>
        </w:rPr>
      </w:pPr>
      <w:r>
        <w:rPr>
          <w:rFonts w:hint="eastAsia" w:ascii="仿宋_GB2312" w:hAnsi="宋体" w:eastAsia="仿宋_GB2312"/>
          <w:color w:val="auto"/>
          <w:sz w:val="32"/>
          <w:szCs w:val="32"/>
          <w:lang w:val="en-US" w:eastAsia="zh-CN"/>
        </w:rPr>
        <w:t>依据《中华人民共和国税收征收管理法》第七十七条、《行政执法机关移送涉嫌犯罪案件的规定》（国务院令第730号）第三条的规定，</w:t>
      </w:r>
      <w:r>
        <w:rPr>
          <w:rFonts w:hint="eastAsia" w:ascii="仿宋_GB2312" w:hAnsi="宋体" w:eastAsia="仿宋_GB2312"/>
          <w:color w:val="auto"/>
          <w:sz w:val="32"/>
          <w:szCs w:val="32"/>
          <w:lang w:val="zh-CN" w:eastAsia="zh-CN"/>
        </w:rPr>
        <w:t>移送公安机关，依法追究刑事责任。</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r>
        <w:rPr>
          <w:rFonts w:hint="eastAsia"/>
        </w:rPr>
        <w:t>你公司若同我局在纳税上有争议，必须先依照本决定的期限缴纳税款及滞纳金或者提供相应的担保，然后可自上述款项缴清或者提供相应担保被税务机关确认之日起六十日内依法向国家税务总局二连浩特市税务局申请行政复议。</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rPr>
      </w:pPr>
      <w:r>
        <w:rPr>
          <w:rFonts w:hint="eastAsia"/>
        </w:rPr>
        <w:t>国家税务总局二连浩特市税务局稽查局</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lang w:val="en-US" w:eastAsia="zh-CN"/>
        </w:rPr>
      </w:pPr>
      <w:r>
        <w:rPr>
          <w:rFonts w:hint="eastAsia"/>
          <w:lang w:val="en-US" w:eastAsia="zh-CN"/>
        </w:rPr>
        <w:t>2</w:t>
      </w:r>
      <w:bookmarkStart w:id="1" w:name="_GoBack"/>
      <w:bookmarkEnd w:id="1"/>
      <w:r>
        <w:rPr>
          <w:rFonts w:hint="eastAsia"/>
          <w:lang w:val="en-US" w:eastAsia="zh-CN"/>
        </w:rPr>
        <w:t>0</w:t>
      </w:r>
      <w:r>
        <w:rPr>
          <w:rFonts w:hint="eastAsia"/>
          <w:color w:val="auto"/>
          <w:lang w:val="en-US" w:eastAsia="zh-CN"/>
        </w:rPr>
        <w:t>25年11月18日</w:t>
      </w:r>
      <w:r>
        <w:rPr>
          <w:rFonts w:hint="eastAsia"/>
          <w:color w:val="auto"/>
        </w:rPr>
        <w:t xml:space="preserve"> </w:t>
      </w:r>
      <w:r>
        <w:rPr>
          <w:rFonts w:hint="eastAsia"/>
        </w:rPr>
        <w:t xml:space="preserve">     </w:t>
      </w:r>
      <w:r>
        <w:rPr>
          <w:rFonts w:hint="eastAsia"/>
          <w:lang w:val="en-US" w:eastAsia="zh-CN"/>
        </w:rPr>
        <w:t xml:space="preserve">  </w:t>
      </w:r>
    </w:p>
    <w:sectPr>
      <w:footerReference r:id="rId5" w:type="default"/>
      <w:pgSz w:w="11906" w:h="16838"/>
      <w:pgMar w:top="1814" w:right="1474" w:bottom="1701" w:left="1587" w:header="851" w:footer="992" w:gutter="0"/>
      <w:pgNumType w:fmt="decimal"/>
      <w:cols w:space="0" w:num="1"/>
      <w:rtlGutter w:val="0"/>
      <w:docGrid w:type="lines" w:linePitch="44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第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页 共 </w:t>
                          </w:r>
                          <w:r>
                            <w:rPr>
                              <w:sz w:val="28"/>
                              <w:szCs w:val="28"/>
                            </w:rPr>
                            <w:fldChar w:fldCharType="begin"/>
                          </w:r>
                          <w:r>
                            <w:rPr>
                              <w:sz w:val="28"/>
                              <w:szCs w:val="28"/>
                            </w:rPr>
                            <w:instrText xml:space="preserve"> NUMPAGES  \* MERGEFORMAT </w:instrText>
                          </w:r>
                          <w:r>
                            <w:rPr>
                              <w:sz w:val="28"/>
                              <w:szCs w:val="28"/>
                            </w:rPr>
                            <w:fldChar w:fldCharType="separate"/>
                          </w:r>
                          <w:r>
                            <w:rPr>
                              <w:sz w:val="28"/>
                              <w:szCs w:val="28"/>
                            </w:rPr>
                            <w:t>12</w:t>
                          </w:r>
                          <w:r>
                            <w:rPr>
                              <w:sz w:val="28"/>
                              <w:szCs w:val="28"/>
                            </w:rPr>
                            <w:fldChar w:fldCharType="end"/>
                          </w:r>
                          <w:r>
                            <w:rPr>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第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页 共 </w:t>
                    </w:r>
                    <w:r>
                      <w:rPr>
                        <w:sz w:val="28"/>
                        <w:szCs w:val="28"/>
                      </w:rPr>
                      <w:fldChar w:fldCharType="begin"/>
                    </w:r>
                    <w:r>
                      <w:rPr>
                        <w:sz w:val="28"/>
                        <w:szCs w:val="28"/>
                      </w:rPr>
                      <w:instrText xml:space="preserve"> NUMPAGES  \* MERGEFORMAT </w:instrText>
                    </w:r>
                    <w:r>
                      <w:rPr>
                        <w:sz w:val="28"/>
                        <w:szCs w:val="28"/>
                      </w:rPr>
                      <w:fldChar w:fldCharType="separate"/>
                    </w:r>
                    <w:r>
                      <w:rPr>
                        <w:sz w:val="28"/>
                        <w:szCs w:val="28"/>
                      </w:rPr>
                      <w:t>12</w:t>
                    </w:r>
                    <w:r>
                      <w:rPr>
                        <w:sz w:val="28"/>
                        <w:szCs w:val="28"/>
                      </w:rPr>
                      <w:fldChar w:fldCharType="end"/>
                    </w:r>
                    <w:r>
                      <w:rPr>
                        <w:sz w:val="28"/>
                        <w:szCs w:val="28"/>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62852"/>
    <w:multiLevelType w:val="singleLevel"/>
    <w:tmpl w:val="00C62852"/>
    <w:lvl w:ilvl="0" w:tentative="0">
      <w:start w:val="1"/>
      <w:numFmt w:val="chineseCounting"/>
      <w:pStyle w:val="2"/>
      <w:suff w:val="nothing"/>
      <w:lvlText w:val="%1、"/>
      <w:lvlJc w:val="left"/>
      <w:pPr>
        <w:ind w:left="0" w:firstLine="420"/>
      </w:pPr>
      <w:rPr>
        <w:rFonts w:hint="eastAsia"/>
      </w:rPr>
    </w:lvl>
  </w:abstractNum>
  <w:abstractNum w:abstractNumId="1">
    <w:nsid w:val="33EAF83E"/>
    <w:multiLevelType w:val="singleLevel"/>
    <w:tmpl w:val="33EAF83E"/>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D6B27"/>
    <w:rsid w:val="00B82D77"/>
    <w:rsid w:val="00D0349D"/>
    <w:rsid w:val="016138ED"/>
    <w:rsid w:val="06C1129D"/>
    <w:rsid w:val="06EB03EA"/>
    <w:rsid w:val="0A3D6A9F"/>
    <w:rsid w:val="0ABC1290"/>
    <w:rsid w:val="0AD62E23"/>
    <w:rsid w:val="0D8B2B2B"/>
    <w:rsid w:val="0DE12C03"/>
    <w:rsid w:val="0E5A0F38"/>
    <w:rsid w:val="123B3728"/>
    <w:rsid w:val="157141B7"/>
    <w:rsid w:val="187243E2"/>
    <w:rsid w:val="19B43493"/>
    <w:rsid w:val="19FC56E6"/>
    <w:rsid w:val="1AFA0429"/>
    <w:rsid w:val="1BFB70C9"/>
    <w:rsid w:val="1F5D6B27"/>
    <w:rsid w:val="1F9A6783"/>
    <w:rsid w:val="203A3880"/>
    <w:rsid w:val="20820DDD"/>
    <w:rsid w:val="21613BFD"/>
    <w:rsid w:val="21DF2B6C"/>
    <w:rsid w:val="22194D4D"/>
    <w:rsid w:val="2246105F"/>
    <w:rsid w:val="236C5785"/>
    <w:rsid w:val="23C514D0"/>
    <w:rsid w:val="2EED236D"/>
    <w:rsid w:val="2F541316"/>
    <w:rsid w:val="305D206D"/>
    <w:rsid w:val="326D7044"/>
    <w:rsid w:val="326F01DC"/>
    <w:rsid w:val="32CB1A66"/>
    <w:rsid w:val="34E81F79"/>
    <w:rsid w:val="36526FDF"/>
    <w:rsid w:val="39736868"/>
    <w:rsid w:val="3A2B09A0"/>
    <w:rsid w:val="3B607E83"/>
    <w:rsid w:val="3DAE459F"/>
    <w:rsid w:val="3E4F13A6"/>
    <w:rsid w:val="3EC04CE9"/>
    <w:rsid w:val="40561888"/>
    <w:rsid w:val="40AB334D"/>
    <w:rsid w:val="414C0D47"/>
    <w:rsid w:val="45314EBC"/>
    <w:rsid w:val="45762EB9"/>
    <w:rsid w:val="458D575A"/>
    <w:rsid w:val="46F13E05"/>
    <w:rsid w:val="48E32706"/>
    <w:rsid w:val="49086CA0"/>
    <w:rsid w:val="49B90235"/>
    <w:rsid w:val="4CA8322E"/>
    <w:rsid w:val="4EA74C95"/>
    <w:rsid w:val="4F9E5357"/>
    <w:rsid w:val="5070215D"/>
    <w:rsid w:val="50B5600A"/>
    <w:rsid w:val="53BC3887"/>
    <w:rsid w:val="54993887"/>
    <w:rsid w:val="54AD4653"/>
    <w:rsid w:val="590A2F48"/>
    <w:rsid w:val="5B564919"/>
    <w:rsid w:val="5CF25270"/>
    <w:rsid w:val="5D924EEC"/>
    <w:rsid w:val="5DBA61FE"/>
    <w:rsid w:val="620E1F08"/>
    <w:rsid w:val="634E6F1D"/>
    <w:rsid w:val="636129EF"/>
    <w:rsid w:val="656A7D79"/>
    <w:rsid w:val="656E2F01"/>
    <w:rsid w:val="66884C8F"/>
    <w:rsid w:val="67E95C2A"/>
    <w:rsid w:val="68342BF0"/>
    <w:rsid w:val="6B9D52EF"/>
    <w:rsid w:val="6E131236"/>
    <w:rsid w:val="6EFE1F18"/>
    <w:rsid w:val="6F843BA6"/>
    <w:rsid w:val="706F1CA0"/>
    <w:rsid w:val="71031148"/>
    <w:rsid w:val="71600321"/>
    <w:rsid w:val="717D3DF6"/>
    <w:rsid w:val="75AC3952"/>
    <w:rsid w:val="795C5F76"/>
    <w:rsid w:val="7B5712E5"/>
    <w:rsid w:val="7B932444"/>
    <w:rsid w:val="7E6D6116"/>
    <w:rsid w:val="7EE0707A"/>
    <w:rsid w:val="7FE74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qFormat/>
    <w:uiPriority w:val="0"/>
    <w:pPr>
      <w:keepNext w:val="0"/>
      <w:keepLines w:val="0"/>
      <w:numPr>
        <w:ilvl w:val="0"/>
        <w:numId w:val="1"/>
      </w:numPr>
      <w:spacing w:beforeLines="0" w:beforeAutospacing="0" w:afterLines="0" w:afterAutospacing="0" w:line="560" w:lineRule="exact"/>
      <w:outlineLvl w:val="0"/>
    </w:pPr>
    <w:rPr>
      <w:rFonts w:ascii="黑体" w:hAnsi="黑体" w:eastAsia="黑体" w:cs="黑体"/>
      <w:kern w:val="44"/>
    </w:rPr>
  </w:style>
  <w:style w:type="paragraph" w:styleId="3">
    <w:name w:val="heading 2"/>
    <w:basedOn w:val="1"/>
    <w:next w:val="1"/>
    <w:unhideWhenUsed/>
    <w:qFormat/>
    <w:uiPriority w:val="0"/>
    <w:pPr>
      <w:keepNext w:val="0"/>
      <w:keepLines w:val="0"/>
      <w:adjustRightInd/>
      <w:spacing w:beforeLines="0" w:beforeAutospacing="0" w:afterLines="0" w:afterAutospacing="0" w:line="560" w:lineRule="exact"/>
      <w:outlineLvl w:val="1"/>
    </w:pPr>
    <w:rPr>
      <w:b/>
    </w:rPr>
  </w:style>
  <w:style w:type="paragraph" w:styleId="4">
    <w:name w:val="heading 3"/>
    <w:basedOn w:val="1"/>
    <w:next w:val="1"/>
    <w:semiHidden/>
    <w:unhideWhenUsed/>
    <w:qFormat/>
    <w:uiPriority w:val="0"/>
    <w:pPr>
      <w:keepNext w:val="0"/>
      <w:keepLines w:val="0"/>
      <w:spacing w:beforeLines="0" w:beforeAutospacing="0" w:afterLines="0" w:afterAutospacing="0" w:line="560" w:lineRule="exact"/>
      <w:outlineLvl w:val="2"/>
    </w:pPr>
    <w:rPr>
      <w:rFonts w:ascii="仿宋_GB2312" w:hAnsi="仿宋_GB2312" w:eastAsia="仿宋_GB231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2025-07-29T07:11:00Z</dcterms:created>
  <dc:creator>JCJ</dc:creator>
  <cp:lastModifiedBy>潘晓明</cp:lastModifiedBy>
  <dcterms:modified xsi:type="dcterms:W3CDTF">2025-11-18T01:55:12Z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