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adjustRightInd/>
        <w:spacing w:line="560" w:lineRule="exact"/>
        <w:jc w:val="center"/>
        <w:textAlignment w:val="auto"/>
        <w:rPr>
          <w:rFonts w:hint="eastAsia" w:eastAsia="宋体"/>
          <w:color w:val="auto"/>
          <w:sz w:val="44"/>
          <w:szCs w:val="44"/>
          <w:lang w:eastAsia="zh-CN"/>
        </w:rPr>
      </w:pPr>
      <w:r>
        <w:rPr>
          <w:rFonts w:hint="eastAsia"/>
          <w:color w:val="auto"/>
          <w:sz w:val="44"/>
          <w:szCs w:val="44"/>
          <w:lang w:eastAsia="zh-CN"/>
        </w:rPr>
        <w:t>国家税务总局</w:t>
      </w:r>
      <w:r>
        <w:rPr>
          <w:rFonts w:hint="eastAsia"/>
          <w:color w:val="auto"/>
          <w:sz w:val="44"/>
          <w:szCs w:val="44"/>
          <w:lang w:val="en-US" w:eastAsia="zh-CN"/>
        </w:rPr>
        <w:t>乌海市</w:t>
      </w:r>
      <w:r>
        <w:rPr>
          <w:rFonts w:hint="eastAsia"/>
          <w:color w:val="auto"/>
          <w:sz w:val="44"/>
          <w:szCs w:val="44"/>
          <w:lang w:eastAsia="zh-CN"/>
        </w:rPr>
        <w:t>税务局稽查局</w:t>
      </w:r>
    </w:p>
    <w:p>
      <w:pPr>
        <w:pStyle w:val="7"/>
        <w:keepNext w:val="0"/>
        <w:keepLines w:val="0"/>
        <w:pageBreakBefore w:val="0"/>
        <w:widowControl w:val="0"/>
        <w:kinsoku/>
        <w:overflowPunct/>
        <w:topLinePunct w:val="0"/>
        <w:autoSpaceDE/>
        <w:autoSpaceDN/>
        <w:bidi w:val="0"/>
        <w:adjustRightInd/>
        <w:spacing w:line="560" w:lineRule="exact"/>
        <w:jc w:val="center"/>
        <w:textAlignment w:val="auto"/>
        <w:rPr>
          <w:color w:val="auto"/>
          <w:sz w:val="52"/>
          <w:szCs w:val="52"/>
        </w:rPr>
      </w:pPr>
      <w:r>
        <w:rPr>
          <w:rFonts w:hint="eastAsia"/>
          <w:color w:val="auto"/>
          <w:sz w:val="52"/>
          <w:szCs w:val="52"/>
        </w:rPr>
        <w:t>税务处理决定书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乌海税稽处〔2025〕17号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szCs w:val="32"/>
          <w:lang w:eastAsia="zh-CN"/>
        </w:rPr>
        <w:t>内蒙古天生源贸易</w:t>
      </w:r>
      <w:r>
        <w:rPr>
          <w:rFonts w:hint="eastAsia" w:ascii="仿宋_GB2312" w:hAnsi="仿宋_GB2312" w:eastAsia="仿宋_GB2312" w:cs="仿宋_GB2312"/>
          <w:color w:val="auto"/>
          <w:sz w:val="32"/>
          <w:szCs w:val="32"/>
        </w:rPr>
        <w:t>有限公司（</w:t>
      </w:r>
      <w:r>
        <w:rPr>
          <w:rFonts w:hint="eastAsia" w:ascii="仿宋_GB2312" w:hAnsi="仿宋_GB2312" w:eastAsia="仿宋_GB2312" w:cs="仿宋_GB2312"/>
          <w:color w:val="auto"/>
          <w:sz w:val="32"/>
        </w:rPr>
        <w:t>纳税人识别号</w:t>
      </w:r>
      <w:bookmarkStart w:id="0" w:name="nsrsbh"/>
      <w:bookmarkEnd w:id="0"/>
      <w:r>
        <w:rPr>
          <w:rFonts w:hint="eastAsia" w:ascii="仿宋_GB2312" w:hAnsi="仿宋_GB2312" w:eastAsia="仿宋_GB2312" w:cs="仿宋_GB2312"/>
          <w:color w:val="auto"/>
          <w:sz w:val="32"/>
        </w:rPr>
        <w:t>：</w:t>
      </w:r>
      <w:r>
        <w:rPr>
          <w:rFonts w:hint="eastAsia" w:ascii="仿宋_GB2312" w:hAnsi="宋体" w:eastAsia="仿宋_GB2312"/>
          <w:color w:val="auto"/>
          <w:sz w:val="32"/>
          <w:szCs w:val="32"/>
        </w:rPr>
        <w:t>91150302690085135C</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我局</w:t>
      </w:r>
      <w:r>
        <w:rPr>
          <w:rFonts w:hint="eastAsia" w:ascii="仿宋_GB2312" w:hAnsi="仿宋_GB2312" w:eastAsia="仿宋_GB2312" w:cs="仿宋_GB2312"/>
          <w:color w:val="auto"/>
          <w:sz w:val="32"/>
          <w:szCs w:val="32"/>
          <w:highlight w:val="none"/>
          <w:lang w:eastAsia="zh-CN"/>
        </w:rPr>
        <w:t>（所）于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2025年12月25日</w:t>
      </w:r>
      <w:r>
        <w:rPr>
          <w:rFonts w:hint="eastAsia" w:ascii="仿宋_GB2312" w:hAnsi="仿宋_GB2312" w:eastAsia="仿宋_GB2312" w:cs="仿宋_GB2312"/>
          <w:color w:val="auto"/>
          <w:sz w:val="32"/>
          <w:szCs w:val="32"/>
          <w:highlight w:val="none"/>
        </w:rPr>
        <w:t>对你单位</w:t>
      </w:r>
      <w:r>
        <w:rPr>
          <w:rFonts w:hint="eastAsia" w:ascii="仿宋_GB2312" w:hAnsi="仿宋_GB2312" w:eastAsia="仿宋_GB2312" w:cs="仿宋_GB2312"/>
          <w:color w:val="auto"/>
          <w:sz w:val="32"/>
          <w:szCs w:val="32"/>
          <w:highlight w:val="none"/>
          <w:lang w:eastAsia="zh-CN"/>
        </w:rPr>
        <w:t>（地址：</w:t>
      </w:r>
      <w:r>
        <w:rPr>
          <w:rFonts w:hint="eastAsia" w:ascii="仿宋_GB2312" w:hAnsi="宋体" w:eastAsia="仿宋_GB2312"/>
          <w:color w:val="auto"/>
          <w:sz w:val="32"/>
          <w:szCs w:val="32"/>
        </w:rPr>
        <w:t>乌海市</w:t>
      </w:r>
      <w:r>
        <w:rPr>
          <w:rFonts w:hint="eastAsia" w:ascii="仿宋_GB2312" w:hAnsi="宋体" w:eastAsia="仿宋_GB2312"/>
          <w:color w:val="auto"/>
          <w:sz w:val="32"/>
          <w:szCs w:val="32"/>
          <w:lang w:eastAsia="zh-CN"/>
        </w:rPr>
        <w:t>海勃湾区双拥西街</w:t>
      </w:r>
      <w:r>
        <w:rPr>
          <w:rFonts w:hint="eastAsia" w:ascii="仿宋_GB2312" w:hAnsi="宋体" w:eastAsia="仿宋_GB2312"/>
          <w:color w:val="auto"/>
          <w:sz w:val="32"/>
          <w:szCs w:val="32"/>
          <w:lang w:val="en-US" w:eastAsia="zh-CN"/>
        </w:rPr>
        <w:t>15号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rPr>
        <w:t>20</w:t>
      </w:r>
      <w:r>
        <w:rPr>
          <w:rFonts w:hint="eastAsia" w:ascii="仿宋_GB2312" w:hAnsi="仿宋_GB2312" w:eastAsia="仿宋_GB2312" w:cs="仿宋_GB2312"/>
          <w:color w:val="auto"/>
          <w:sz w:val="32"/>
          <w:lang w:val="en-US" w:eastAsia="zh-CN"/>
        </w:rPr>
        <w:t>17</w:t>
      </w:r>
      <w:r>
        <w:rPr>
          <w:rFonts w:hint="eastAsia" w:ascii="仿宋_GB2312" w:hAnsi="仿宋_GB2312" w:eastAsia="仿宋_GB2312" w:cs="仿宋_GB2312"/>
          <w:color w:val="auto"/>
          <w:sz w:val="32"/>
        </w:rPr>
        <w:t>年1月1日至</w:t>
      </w:r>
      <w:bookmarkStart w:id="1" w:name="jcssqjz"/>
      <w:bookmarkEnd w:id="1"/>
      <w:r>
        <w:rPr>
          <w:rFonts w:hint="eastAsia" w:ascii="仿宋_GB2312" w:hAnsi="仿宋_GB2312" w:eastAsia="仿宋_GB2312" w:cs="仿宋_GB2312"/>
          <w:color w:val="auto"/>
          <w:sz w:val="32"/>
        </w:rPr>
        <w:t>20</w:t>
      </w:r>
      <w:r>
        <w:rPr>
          <w:rFonts w:hint="eastAsia" w:ascii="仿宋_GB2312" w:hAnsi="仿宋_GB2312" w:eastAsia="仿宋_GB2312" w:cs="仿宋_GB2312"/>
          <w:color w:val="auto"/>
          <w:sz w:val="32"/>
          <w:lang w:val="en-US" w:eastAsia="zh-CN"/>
        </w:rPr>
        <w:t>17</w:t>
      </w:r>
      <w:r>
        <w:rPr>
          <w:rFonts w:hint="eastAsia" w:ascii="仿宋_GB2312" w:hAnsi="仿宋_GB2312" w:eastAsia="仿宋_GB2312" w:cs="仿宋_GB2312"/>
          <w:color w:val="auto"/>
          <w:sz w:val="32"/>
        </w:rPr>
        <w:t>年12月31日</w:t>
      </w:r>
      <w:r>
        <w:rPr>
          <w:rFonts w:hint="eastAsia" w:ascii="仿宋_GB2312" w:hAnsi="仿宋_GB2312" w:eastAsia="仿宋_GB2312" w:cs="仿宋_GB2312"/>
          <w:color w:val="auto"/>
          <w:sz w:val="32"/>
          <w:szCs w:val="32"/>
          <w:highlight w:val="none"/>
          <w:lang w:eastAsia="zh-CN"/>
        </w:rPr>
        <w:t>涉税</w:t>
      </w:r>
      <w:r>
        <w:rPr>
          <w:rFonts w:hint="eastAsia" w:ascii="仿宋_GB2312" w:hAnsi="仿宋_GB2312" w:eastAsia="仿宋_GB2312" w:cs="仿宋_GB2312"/>
          <w:color w:val="auto"/>
          <w:sz w:val="32"/>
          <w:szCs w:val="32"/>
          <w:highlight w:val="none"/>
        </w:rPr>
        <w:t>情况进行了检查，违法事实及处理决定如下：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rPr>
      </w:pPr>
      <w:r>
        <w:rPr>
          <w:rFonts w:hint="eastAsia" w:ascii="黑体" w:hAnsi="黑体" w:eastAsia="黑体" w:cs="黑体"/>
          <w:b w:val="0"/>
          <w:bCs w:val="0"/>
          <w:color w:val="auto"/>
          <w:sz w:val="32"/>
          <w:lang w:eastAsia="zh-CN"/>
        </w:rPr>
        <w:t>一、</w:t>
      </w:r>
      <w:r>
        <w:rPr>
          <w:rFonts w:hint="eastAsia" w:ascii="黑体" w:hAnsi="黑体" w:eastAsia="黑体" w:cs="黑体"/>
          <w:b w:val="0"/>
          <w:bCs w:val="0"/>
          <w:color w:val="auto"/>
          <w:sz w:val="32"/>
        </w:rPr>
        <w:t>违法事实</w:t>
      </w:r>
      <w:r>
        <w:rPr>
          <w:rFonts w:hint="eastAsia" w:ascii="黑体" w:hAnsi="黑体" w:eastAsia="黑体" w:cs="黑体"/>
          <w:b w:val="0"/>
          <w:bCs w:val="0"/>
          <w:color w:val="auto"/>
          <w:sz w:val="32"/>
          <w:lang w:eastAsia="zh-CN"/>
        </w:rPr>
        <w:t>及证据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bookmarkStart w:id="2" w:name="wfss"/>
      <w:bookmarkEnd w:id="2"/>
      <w:r>
        <w:rPr>
          <w:rFonts w:hint="eastAsia" w:ascii="仿宋_GB2312" w:hAnsi="仿宋_GB2312" w:eastAsia="仿宋_GB2312" w:cs="仿宋_GB2312"/>
          <w:color w:val="auto"/>
          <w:sz w:val="32"/>
          <w:szCs w:val="32"/>
          <w:lang w:eastAsia="zh-CN"/>
        </w:rPr>
        <w:t>你单位于2017年1月9日取得鄂尔多斯市耀顺煤炭运销有限公司开具的增值税专用发票45份，不含税发票金额：4495807.65元，税额：764287.35元，金额合计5260095.00元，已抵扣增值税764287.35元；于2017年5月17日取得鄂尔多斯市成源煤炭运销有限公司开具的增值税专用发票42份，不含税发票金额：4194658.10元，税额：713091.90元，金额合计4907750.00元，已抵扣增值税713091.90元；以上合计取得增值税专用发票87份，不含税发票金额：8690465.75元，税额：1477379.25元，金额合计10167845.00元，合计已抵扣增值税1477379.25元。你单位与上述两家公司没有没有真实的货物交易，存在虚假承兑支付，你单位将上述发票部分进项税额进行了抵扣，成本也进行了列支。你单位2017年1月1日至2017年12月31日期间共计少缴增值税1477379.25元，城市维护建设税103416.54元、教育费附加44321.38元、地方教育附加29547.59元，合计1654664.76元。你单位申报2017年度应纳税所得额0元，弥补可结转以后年度弥补的亏损额11050994.70元，调整后应纳税所得额为8513180.22-11050994.70=-2537814.48元。对查补的增值税、城市维护建设税加收滞纳金以金三系统为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color w:val="auto"/>
          <w:sz w:val="32"/>
          <w:szCs w:val="32"/>
          <w:lang w:eastAsia="zh-CN"/>
        </w:rPr>
      </w:pPr>
      <w:r>
        <w:rPr>
          <w:rFonts w:hint="eastAsia" w:ascii="仿宋_GB2312" w:hAnsi="仿宋_GB2312" w:eastAsia="仿宋_GB2312" w:cs="仿宋_GB2312"/>
          <w:color w:val="auto"/>
          <w:sz w:val="32"/>
          <w:szCs w:val="32"/>
          <w:lang w:eastAsia="zh-CN"/>
        </w:rPr>
        <w:t>你单位</w:t>
      </w:r>
      <w:r>
        <w:rPr>
          <w:rFonts w:hint="eastAsia" w:ascii="仿宋_GB2312" w:hAnsi="仿宋_GB2312" w:eastAsia="仿宋_GB2312" w:cs="仿宋_GB2312"/>
          <w:color w:val="auto"/>
          <w:sz w:val="32"/>
          <w:szCs w:val="32"/>
        </w:rPr>
        <w:t>让他人为自己开具与实际经营业务情况不符的</w:t>
      </w:r>
      <w:r>
        <w:rPr>
          <w:rFonts w:hint="eastAsia" w:ascii="仿宋_GB2312" w:hAnsi="仿宋_GB2312" w:eastAsia="仿宋_GB2312" w:cs="仿宋_GB2312"/>
          <w:color w:val="auto"/>
          <w:sz w:val="32"/>
          <w:szCs w:val="32"/>
          <w:lang w:val="en-US" w:eastAsia="zh-CN"/>
        </w:rPr>
        <w:t>增值税专用发票87份，不含税发票金额：8690465.75元，税额：1477379.25元，金额合计10167845.00元，合计已抵扣增值税1477379.25元，</w:t>
      </w:r>
      <w:r>
        <w:rPr>
          <w:rFonts w:hint="eastAsia" w:ascii="仿宋_GB2312" w:hAnsi="仿宋_GB2312" w:eastAsia="仿宋_GB2312" w:cs="仿宋_GB2312"/>
          <w:color w:val="auto"/>
          <w:sz w:val="32"/>
          <w:szCs w:val="32"/>
        </w:rPr>
        <w:t>属于虚开发票行为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1、增值税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增值税暂行条例》（中华人民共和国国务院令第691号）第一条“中华人民共和国境内销售货物或者加工、修理修配劳务（以下简称劳务），销售服务、无形资产、不动产以及进口货物的单位和个人，为增值税的纳税人，应当依照本条例缴纳增值税。”第四条“除本条例第十一条规定外，纳税人销售货物、劳务、服务、无形资产、不动产（以下统称应税销售行为），应纳税额为当期销项税额抵扣当期进项税额后的余额。应纳税额计算公式：应纳税额=当期销项税额－当期进项税额，当期销项税额小于当期进项税额不足抵扣时，其不足部分可以结转下期继续抵扣。”第五条“纳税人发生应税销售行为，按照销售额和本条例第二条规定的税率计算收取的增值税额，为销项税额。销项税额计算公式：销项税额=销售额×税率。”第九条“纳税人购进货物或者应税劳务，取得的增值税扣税凭证不符合法律、行政法规或者国务院税务主管部门有关规定的，其进项税额不得从销项税额中抵扣”。根据《国家税务总局关于纳税人虚开增值税专用发票征补税款问题的公告》（国家税务总局公告2012年第33号）规定，“纳税人取得虚开的增值税专用发票，不得作为增值税合法有效的扣税凭证抵扣其进项税额”之规定，你单位应补缴增值税1477379.25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2、城市维护建设税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城市维护建设税暂行条例》第二条“凡缴纳消费税、增值税、营业税的单位和个人，都是城市维护建设税的纳税义务人（以下简称纳税人），都应当依照本条例的规定缴纳城市维护建设税”、第三条“城市维护建设税，以纳税人实际缴纳的消费税、增值税、营业税税额为计税依据，分别与消费税、增值税、营业税同时缴纳”、第四条“城市维护建设税税率如下：纳税人所在地在市区的，税率为7%；纳税人所在地在县城、镇的，税率为5%；纳税人所在地不在市区、县城或镇的，税率为1%”的规定，你单位应补缴城市维护建设税103416.54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3、教育费附加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根据《征收教育费附加的暂行规定》（国务院令〔1990〕60号）第三条“ 教育费附加，以各单位和个人实际缴纳的增值税、营业税、消费税的税额为计征依据，教育费附加率为3%，分别与增值税、营业税、消费税同时缴纳”。第六条“教育费附加的征收管理，按照消费税、增值税、营业税的有关规定办理”的规定，你单位应补缴教育费附加44321.38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4、地方教育附加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根据《内蒙古自治区人民政府关于印发&lt;内蒙古自治区地方教育附加征收使用管理办法&gt;的通知》（内政字〔2005〕255号）　　“第四条　自治区行政区域内所有缴纳增值税、营业税、消费税（以下简称“三税”）的单位和个人均应缴纳地方教育附加。第五条　地方教育附加的征收标准为单位和个人实际缴纳“三税”税额的1％。”、《关于同意内蒙古自治区政府地方教育费附加的函》（财综函[2005]33号）、《内蒙古自治区人民政府办公厅关于调整地方教育附加征收标准的通知》（内政办发〔2011〕25号）:第一条“征收标准 全区地方教育附加征收标准统一调整为单位和个人（包括外商投资企业、外国企业及外籍个人）实际缴纳增值税、营业税、消费税税额2%。”第二条“执行时间 调整后的征收标准从2011年2月1日起执行”、《内蒙古自治区人民政府关于印发&lt;内蒙古自治区地方教育附加征收使用管理办法&gt;的通知》（内政字〔2016〕64号）“第四条 自治区行政区域内所有缴纳增值税、营业税、消费税（以下简称“三税”）的单位和个人（包括外商投资企业、外国企业及外籍个人），应当依照本办法缴纳地方教育附加。第五条 地方教育附加的征收标准为单位和个人实际缴纳“三税”税额的2%。第二十二条 本办法自印发之日起施行。发文日期：2016年03月14日”的规定，你单位应补缴地方教育附加29547.59元。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olor w:val="auto"/>
          <w:lang w:eastAsia="zh-CN"/>
        </w:rPr>
      </w:pPr>
      <w:r>
        <w:rPr>
          <w:rFonts w:hint="eastAsia" w:ascii="仿宋_GB2312" w:hAnsi="仿宋" w:eastAsia="仿宋_GB2312"/>
          <w:color w:val="auto"/>
          <w:sz w:val="32"/>
          <w:szCs w:val="32"/>
          <w:lang w:eastAsia="zh-CN"/>
        </w:rPr>
        <w:t>根据《中华人民共和国企业所得税法》第一条“在中华人民共和国境内，企业和其他取得收入的组织（以下统称企业）为企业所得税的纳税人，依照本法的规定缴纳企业所得税。个人独资企业、合伙企业不适用本法。”，第四条“企业所得税的税率为25％”，第八条规定，“企业实际发生的与取得收入有关的、合理的支出，包括成本、费用、税金、损失和其他支出，准予在计算应纳税所得额时扣除”。根据《中华人民共和国发票管理办法》第二十一条规定，“不符合规定的发票，不得作为财务报销凭证，任何单位和个</w:t>
      </w:r>
      <w:bookmarkStart w:id="5" w:name="_GoBack"/>
      <w:bookmarkEnd w:id="5"/>
      <w:r>
        <w:rPr>
          <w:rFonts w:hint="eastAsia" w:ascii="仿宋_GB2312" w:hAnsi="仿宋" w:eastAsia="仿宋_GB2312"/>
          <w:color w:val="auto"/>
          <w:sz w:val="32"/>
          <w:szCs w:val="32"/>
          <w:lang w:eastAsia="zh-CN"/>
        </w:rPr>
        <w:t>人有权拒收”。根据《国家税务总局关于印发〈进一步加强税收</w:t>
      </w:r>
      <w:r>
        <w:rPr>
          <w:rFonts w:hint="eastAsia" w:ascii="仿宋_GB2312" w:hAnsi="仿宋" w:eastAsia="仿宋_GB2312"/>
          <w:color w:val="auto"/>
          <w:sz w:val="32"/>
          <w:szCs w:val="32"/>
          <w:highlight w:val="none"/>
          <w:lang w:eastAsia="zh-CN"/>
        </w:rPr>
        <w:t>征管若干具体措施〉的通知》（国税发[2009]114号）第六条规定，“未按规定取得的合法有效凭据不得在税前扣除”之规定，</w:t>
      </w:r>
      <w:r>
        <w:rPr>
          <w:rFonts w:hint="eastAsia" w:ascii="仿宋_GB2312" w:hAnsi="仿宋" w:eastAsia="仿宋_GB2312"/>
          <w:color w:val="auto"/>
          <w:sz w:val="32"/>
          <w:szCs w:val="32"/>
          <w:highlight w:val="none"/>
          <w:lang w:val="en-US" w:eastAsia="zh-CN"/>
        </w:rPr>
        <w:t>2017</w:t>
      </w:r>
      <w:r>
        <w:rPr>
          <w:rFonts w:hint="eastAsia" w:ascii="仿宋_GB2312" w:hAnsi="仿宋" w:eastAsia="仿宋_GB2312"/>
          <w:color w:val="auto"/>
          <w:sz w:val="32"/>
          <w:szCs w:val="32"/>
          <w:highlight w:val="none"/>
          <w:lang w:eastAsia="zh-CN"/>
        </w:rPr>
        <w:t>年度可结转以后年度弥补的亏损额为</w:t>
      </w:r>
      <w:r>
        <w:rPr>
          <w:rFonts w:hint="eastAsia" w:ascii="仿宋_GB2312" w:hAnsi="仿宋_GB2312" w:eastAsia="仿宋_GB2312" w:cs="仿宋_GB2312"/>
          <w:color w:val="auto"/>
          <w:sz w:val="32"/>
          <w:szCs w:val="32"/>
          <w:highlight w:val="none"/>
          <w:lang w:val="en-US" w:eastAsia="zh-CN"/>
        </w:rPr>
        <w:t>2537814.48元。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上述违法事实，主要有以下证据证明：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lang w:eastAsia="zh-CN"/>
        </w:rPr>
        <w:t>证据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相关帐簿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凭证复印件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eastAsia="zh-CN"/>
        </w:rPr>
        <w:t>增值税</w:t>
      </w:r>
      <w:r>
        <w:rPr>
          <w:rFonts w:hint="eastAsia" w:ascii="仿宋_GB2312" w:hAnsi="仿宋_GB2312" w:eastAsia="仿宋_GB2312" w:cs="仿宋_GB2312"/>
          <w:color w:val="auto"/>
          <w:sz w:val="32"/>
          <w:szCs w:val="32"/>
        </w:rPr>
        <w:t>纳税申报表复印件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上述证据印证了你单位增值税申报、抵扣情况。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证据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对公帐户、</w:t>
      </w:r>
      <w:r>
        <w:rPr>
          <w:rFonts w:hint="eastAsia" w:ascii="仿宋_GB2312" w:hAnsi="仿宋_GB2312" w:eastAsia="仿宋_GB2312" w:cs="仿宋_GB2312"/>
          <w:color w:val="auto"/>
          <w:sz w:val="32"/>
          <w:szCs w:val="32"/>
          <w:lang w:eastAsia="zh-CN"/>
        </w:rPr>
        <w:t>张云霞的《询问笔录》、刘雁《询问笔录》、</w:t>
      </w:r>
      <w:r>
        <w:rPr>
          <w:rFonts w:hint="eastAsia" w:ascii="仿宋_GB2312" w:hAnsi="仿宋_GB2312" w:eastAsia="仿宋_GB2312" w:cs="仿宋_GB2312"/>
          <w:color w:val="auto"/>
          <w:sz w:val="32"/>
          <w:szCs w:val="32"/>
          <w:lang w:val="en-US" w:eastAsia="zh-CN"/>
        </w:rPr>
        <w:t>《国家税务总局鄂尔多斯市税务局第一稽查局税务处理决定书》、《内蒙古自治区鄂尔多斯市中级人民法院刑事判决书》以及郝迎东的《讯问笔录》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上述证据印证了</w:t>
      </w:r>
      <w:r>
        <w:rPr>
          <w:rFonts w:hint="eastAsia" w:ascii="仿宋_GB2312" w:hAnsi="仿宋_GB2312" w:eastAsia="仿宋_GB2312" w:cs="仿宋_GB2312"/>
          <w:bCs/>
          <w:color w:val="auto"/>
          <w:sz w:val="32"/>
          <w:szCs w:val="32"/>
          <w:highlight w:val="none"/>
          <w:lang w:eastAsia="zh-CN"/>
        </w:rPr>
        <w:t>发票虚开</w:t>
      </w:r>
      <w:r>
        <w:rPr>
          <w:rFonts w:hint="eastAsia" w:ascii="仿宋_GB2312" w:hAnsi="仿宋_GB2312" w:eastAsia="仿宋_GB2312" w:cs="仿宋_GB2312"/>
          <w:color w:val="auto"/>
          <w:sz w:val="32"/>
          <w:szCs w:val="32"/>
          <w:highlight w:val="none"/>
          <w:lang w:eastAsia="zh-CN"/>
        </w:rPr>
        <w:t>业务发生相关情况。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综上所述，你单位</w:t>
      </w:r>
      <w:r>
        <w:rPr>
          <w:rFonts w:hint="eastAsia" w:ascii="仿宋_GB2312" w:hAnsi="仿宋_GB2312" w:eastAsia="仿宋_GB2312" w:cs="仿宋_GB2312"/>
          <w:b w:val="0"/>
          <w:bCs w:val="0"/>
          <w:color w:val="auto"/>
          <w:sz w:val="32"/>
        </w:rPr>
        <w:t>20</w:t>
      </w:r>
      <w:r>
        <w:rPr>
          <w:rFonts w:hint="eastAsia" w:ascii="仿宋_GB2312" w:hAnsi="仿宋_GB2312" w:eastAsia="仿宋_GB2312" w:cs="仿宋_GB2312"/>
          <w:b w:val="0"/>
          <w:bCs w:val="0"/>
          <w:color w:val="auto"/>
          <w:sz w:val="32"/>
          <w:lang w:val="en-US" w:eastAsia="zh-CN"/>
        </w:rPr>
        <w:t>17</w:t>
      </w:r>
      <w:r>
        <w:rPr>
          <w:rFonts w:hint="eastAsia" w:ascii="仿宋_GB2312" w:hAnsi="仿宋_GB2312" w:eastAsia="仿宋_GB2312" w:cs="仿宋_GB2312"/>
          <w:b w:val="0"/>
          <w:bCs w:val="0"/>
          <w:color w:val="auto"/>
          <w:sz w:val="32"/>
        </w:rPr>
        <w:t>年1月1日至20</w:t>
      </w:r>
      <w:r>
        <w:rPr>
          <w:rFonts w:hint="eastAsia" w:ascii="仿宋_GB2312" w:hAnsi="仿宋_GB2312" w:eastAsia="仿宋_GB2312" w:cs="仿宋_GB2312"/>
          <w:b w:val="0"/>
          <w:bCs w:val="0"/>
          <w:color w:val="auto"/>
          <w:sz w:val="32"/>
          <w:lang w:val="en-US" w:eastAsia="zh-CN"/>
        </w:rPr>
        <w:t>17</w:t>
      </w:r>
      <w:r>
        <w:rPr>
          <w:rFonts w:hint="eastAsia" w:ascii="仿宋_GB2312" w:hAnsi="仿宋_GB2312" w:eastAsia="仿宋_GB2312" w:cs="仿宋_GB2312"/>
          <w:b w:val="0"/>
          <w:bCs w:val="0"/>
          <w:color w:val="auto"/>
          <w:sz w:val="32"/>
        </w:rPr>
        <w:t>年12月31日</w:t>
      </w:r>
      <w:r>
        <w:rPr>
          <w:rFonts w:hint="eastAsia" w:ascii="仿宋_GB2312" w:hAnsi="仿宋_GB2312" w:eastAsia="仿宋_GB2312" w:cs="仿宋_GB2312"/>
          <w:b w:val="0"/>
          <w:bCs w:val="0"/>
          <w:color w:val="auto"/>
          <w:sz w:val="32"/>
          <w:lang w:eastAsia="zh-CN"/>
        </w:rPr>
        <w:t>期间</w:t>
      </w:r>
      <w:r>
        <w:rPr>
          <w:rFonts w:hint="eastAsia" w:ascii="仿宋_GB2312" w:hAnsi="仿宋_GB2312" w:eastAsia="仿宋_GB2312" w:cs="仿宋_GB2312"/>
          <w:b w:val="0"/>
          <w:bCs w:val="0"/>
          <w:color w:val="auto"/>
          <w:sz w:val="32"/>
          <w:szCs w:val="32"/>
          <w:highlight w:val="none"/>
          <w:lang w:val="en-US" w:eastAsia="zh-CN"/>
        </w:rPr>
        <w:t>共计少缴</w:t>
      </w:r>
      <w:r>
        <w:rPr>
          <w:rFonts w:hint="eastAsia" w:ascii="仿宋_GB2312" w:hAnsi="仿宋_GB2312" w:eastAsia="仿宋_GB2312" w:cs="仿宋_GB2312"/>
          <w:b w:val="0"/>
          <w:bCs w:val="0"/>
          <w:color w:val="auto"/>
          <w:sz w:val="32"/>
          <w:szCs w:val="32"/>
          <w:lang w:val="en-US" w:eastAsia="zh-CN"/>
        </w:rPr>
        <w:t>增值税1477379.25元，城市维护建设税103416.54元、教育费附加44321.38元、地方教育附加29547.59元，合计1654664.76元。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华文仿宋" w:eastAsia="黑体"/>
          <w:color w:val="auto"/>
          <w:sz w:val="32"/>
          <w:lang w:eastAsia="zh-CN"/>
        </w:rPr>
      </w:pPr>
      <w:r>
        <w:rPr>
          <w:rFonts w:hint="eastAsia" w:ascii="黑体" w:hAnsi="华文仿宋" w:eastAsia="黑体"/>
          <w:color w:val="auto"/>
          <w:sz w:val="32"/>
        </w:rPr>
        <w:t>处理决定</w:t>
      </w:r>
      <w:r>
        <w:rPr>
          <w:rFonts w:hint="eastAsia" w:ascii="黑体" w:hAnsi="华文仿宋" w:eastAsia="黑体"/>
          <w:color w:val="auto"/>
          <w:sz w:val="32"/>
          <w:lang w:eastAsia="zh-CN"/>
        </w:rPr>
        <w:t>及依据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（一）根据《中华人民共和国发票管理办法》第二十二条规定：“开具发票应当按照规定的时限、顺序、栏目，全部联次一次性如实开具，并加盖发票专用章。任何单位和个人不得有下列虚开发票行为：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（一）为他人、为自己开具与实际经营业务情况不符的发票；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（二）让他人为自己开具与实际经营业务情况不符的发票；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（三）介绍他人开具与实际经营业务情况不符的发票”。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你单位让他人为自己开具与实际经营业务情况不符的增值税专用发票87份，不含税发票金额：8690465.75元，税额：1477379.25元，金额合计10167845.00元，属于虚开发票行为。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国家税务总局关于纳税人取得虚开的增值税专用发票处理的通知》（国税发［1997］134号）第一条“受票方利用他人虚开的专用发票，向税务机关申报抵扣税款进行偷税的，应当按照《中华人民共和国税收征收管理法》及有关法规追缴税款，处以偷税数额5倍以下的罚款”之规定以及《中华人民共和国税收征收管理法》第六十三条，“纳税人伪造、变造、隐匿、擅自销毁账簿、记账凭证、或者在账簿上多列支出或者不列、少列收入，或者经税务机关通知申报而拒不申报或者进行虚假的纳税申报，不缴或少缴应纳税款的，是偷税。对纳税人偷税的，由税务机关追缴其不缴或者少缴的税款、滞纳金，并处不缴或者少缴的税款百分之五十以上五倍以下的罚款；构成犯罪的依法追究刑事责任”之规定，</w:t>
      </w:r>
      <w:r>
        <w:rPr>
          <w:rFonts w:hint="eastAsia" w:ascii="仿宋_GB2312" w:hAnsi="仿宋_GB2312" w:eastAsia="仿宋_GB2312" w:cs="仿宋_GB2312"/>
          <w:color w:val="auto"/>
          <w:sz w:val="32"/>
          <w:szCs w:val="32"/>
          <w:lang w:eastAsia="zh-CN"/>
        </w:rPr>
        <w:t>你单位通过取得虚开增值税专用发票进行抵扣增值税额、企业所得税多列支出，造成了少缴应纳税款的违法行为，定性为偷税并追缴相应税款及滞纳金。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（二）上述少缴纳增值税1477379.25元，</w:t>
      </w:r>
      <w:r>
        <w:rPr>
          <w:rFonts w:hint="eastAsia" w:ascii="仿宋_GB2312" w:hAnsi="仿宋_GB2312" w:eastAsia="仿宋_GB2312" w:cs="仿宋_GB2312"/>
          <w:color w:val="auto"/>
          <w:sz w:val="32"/>
          <w:szCs w:val="32"/>
          <w:highlight w:val="none"/>
          <w:lang w:eastAsia="zh-CN"/>
        </w:rPr>
        <w:t>城市维护建设税</w:t>
      </w:r>
      <w:r>
        <w:rPr>
          <w:rFonts w:hint="eastAsia" w:ascii="仿宋_GB2312" w:hAnsi="仿宋_GB2312" w:eastAsia="仿宋_GB2312" w:cs="仿宋_GB2312"/>
          <w:color w:val="auto"/>
          <w:sz w:val="32"/>
          <w:szCs w:val="32"/>
          <w:lang w:val="en-US" w:eastAsia="zh-CN"/>
        </w:rPr>
        <w:t>103416.54</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lang w:val="en-US" w:eastAsia="zh-CN"/>
        </w:rPr>
        <w:t>，根据《中华人民共和国税收征收管理法》第三十二条“纳税人未按照规定期限缴纳税款的，扣缴义务人未按照规定期限解缴税款的，税务机关除责令限期缴纳外，从滞纳之日起按日加收滞纳税款万分之五的滞纳金”、</w:t>
      </w:r>
      <w:r>
        <w:rPr>
          <w:rFonts w:hint="eastAsia" w:ascii="仿宋_GB2312" w:hAnsi="仿宋_GB2312" w:eastAsia="仿宋_GB2312" w:cs="仿宋_GB2312"/>
          <w:color w:val="auto"/>
          <w:sz w:val="32"/>
          <w:szCs w:val="32"/>
        </w:rPr>
        <w:t>《中华人民共和国税收征收管理法实施细则》第七十五条“税收征管法第三十二条规定的加收滞纳金的起止时间，为法律、行政法规规定或者税务机关依照法律、行政法规的规定确定的税款缴纳期限届满次日起至纳税人、扣缴义务人实际缴纳或者解缴税款之日止”及从滞纳税款之日起，按日加收滞纳税款万分之五的滞纳金。</w:t>
      </w:r>
      <w:r>
        <w:rPr>
          <w:rFonts w:hint="eastAsia" w:ascii="仿宋_GB2312" w:hAnsi="仿宋_GB2312" w:eastAsia="仿宋_GB2312" w:cs="仿宋_GB2312"/>
          <w:color w:val="auto"/>
          <w:sz w:val="32"/>
          <w:szCs w:val="32"/>
          <w:lang w:val="en-US" w:eastAsia="zh-CN"/>
        </w:rPr>
        <w:t>对少申报缴纳的增值税、城市维护建设税加收滞纳金，具体以金三系统计算为准。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(三)</w:t>
      </w:r>
      <w:r>
        <w:rPr>
          <w:rFonts w:hint="eastAsia" w:ascii="仿宋_GB2312" w:hAnsi="仿宋" w:eastAsia="仿宋_GB2312"/>
          <w:color w:val="auto"/>
          <w:sz w:val="32"/>
          <w:szCs w:val="32"/>
          <w:highlight w:val="none"/>
          <w:lang w:eastAsia="zh-CN"/>
        </w:rPr>
        <w:t>根据国务院《行政执法机关移送涉嫌犯罪案件的规定》（国务院令</w:t>
      </w:r>
      <w:r>
        <w:rPr>
          <w:rFonts w:hint="eastAsia" w:ascii="仿宋_GB2312" w:hAnsi="仿宋" w:eastAsia="仿宋_GB2312"/>
          <w:color w:val="auto"/>
          <w:sz w:val="32"/>
          <w:szCs w:val="32"/>
          <w:highlight w:val="none"/>
          <w:lang w:val="en-US" w:eastAsia="zh-CN"/>
        </w:rPr>
        <w:t>73</w:t>
      </w:r>
      <w:r>
        <w:rPr>
          <w:rFonts w:hint="eastAsia" w:ascii="仿宋_GB2312" w:hAnsi="仿宋" w:eastAsia="仿宋_GB2312"/>
          <w:color w:val="auto"/>
          <w:sz w:val="32"/>
          <w:szCs w:val="32"/>
          <w:highlight w:val="none"/>
          <w:lang w:eastAsia="zh-CN"/>
        </w:rPr>
        <w:t>0号）第三条规定：“行政执法机关在依法查处违法行为过程中，发现违法事实涉及的金额、违法事实的情节、违法事实造成的后果等，根据刑法关于破坏社会主义市场经济秩序罪、妨碍社会管理秩序罪等罪的规定和最高人民法院、最高人民检察院关于破坏社会主义市场经济秩序罪、妨碍社会管理秩序罪等罪的司法解释以及最高人民检察院、公安部关于经济犯罪案件的追诉标准等待规定，涉嫌构成犯罪的，依法需要追究刑事责任的，必须依照本规定向公安机关移送。”、以及《最高人民检察院公安部关于公安机关管辖的刑事案件立案追诉标准的规定（二）》第五十六条“虚开增值税专用发票、或者虚开用于骗取出口退税、抵扣税款的其他发票，虚开税款数额在十万元以上或者致使国家税款被骗数额在五万元以上的，应予以立案追诉”之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36" w:rightChars="-16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你单位虚开增值税专用金额符合上述条款规定，已超过标准，</w:t>
      </w:r>
      <w:r>
        <w:rPr>
          <w:rFonts w:hint="eastAsia" w:ascii="仿宋_GB2312" w:hAnsi="仿宋" w:eastAsia="仿宋_GB2312"/>
          <w:color w:val="auto"/>
          <w:sz w:val="32"/>
          <w:szCs w:val="32"/>
          <w:lang w:val="en-US" w:eastAsia="zh-CN"/>
        </w:rPr>
        <w:t>将依法移送司法机关追究刑事责任。</w:t>
      </w:r>
    </w:p>
    <w:p>
      <w:pPr>
        <w:pStyle w:val="10"/>
        <w:keepNext w:val="0"/>
        <w:keepLines w:val="0"/>
        <w:widowControl/>
        <w:suppressLineNumbers w:val="0"/>
        <w:spacing w:before="0" w:beforeAutospacing="0" w:after="0" w:afterAutospacing="0"/>
        <w:ind w:right="0" w:firstLine="640" w:firstLineChars="200"/>
        <w:jc w:val="both"/>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highlight w:val="none"/>
          <w:lang w:eastAsia="zh-CN"/>
        </w:rPr>
        <w:t>（四）你单位</w:t>
      </w:r>
      <w:r>
        <w:rPr>
          <w:rFonts w:hint="eastAsia" w:ascii="仿宋_GB2312" w:hAnsi="仿宋" w:eastAsia="仿宋_GB2312"/>
          <w:color w:val="auto"/>
          <w:sz w:val="32"/>
          <w:szCs w:val="32"/>
          <w:highlight w:val="none"/>
          <w:lang w:val="en-US" w:eastAsia="zh-CN"/>
        </w:rPr>
        <w:t>2017</w:t>
      </w:r>
      <w:r>
        <w:rPr>
          <w:rFonts w:hint="eastAsia" w:ascii="仿宋_GB2312" w:hAnsi="仿宋" w:eastAsia="仿宋_GB2312"/>
          <w:color w:val="auto"/>
          <w:sz w:val="32"/>
          <w:szCs w:val="32"/>
          <w:highlight w:val="none"/>
          <w:lang w:eastAsia="zh-CN"/>
        </w:rPr>
        <w:t>年偷税税额</w:t>
      </w:r>
      <w:r>
        <w:rPr>
          <w:rFonts w:hint="eastAsia" w:ascii="仿宋_GB2312" w:hAnsi="仿宋" w:eastAsia="仿宋_GB2312"/>
          <w:color w:val="auto"/>
          <w:sz w:val="32"/>
          <w:szCs w:val="32"/>
          <w:highlight w:val="none"/>
          <w:lang w:val="en-US" w:eastAsia="zh-CN"/>
        </w:rPr>
        <w:t>1580795.79元，2017年应纳税额2175929.41元</w:t>
      </w:r>
      <w:r>
        <w:rPr>
          <w:rFonts w:hint="eastAsia" w:ascii="仿宋_GB2312" w:hAnsi="仿宋" w:eastAsia="仿宋_GB2312"/>
          <w:color w:val="auto"/>
          <w:sz w:val="32"/>
          <w:szCs w:val="32"/>
          <w:highlight w:val="none"/>
          <w:lang w:eastAsia="zh-CN"/>
        </w:rPr>
        <w:t>，偷税数额占应纳税额的百分比为</w:t>
      </w:r>
      <w:r>
        <w:rPr>
          <w:rFonts w:hint="eastAsia" w:ascii="仿宋_GB2312" w:hAnsi="仿宋" w:eastAsia="仿宋_GB2312"/>
          <w:color w:val="auto"/>
          <w:sz w:val="32"/>
          <w:szCs w:val="32"/>
          <w:highlight w:val="none"/>
          <w:lang w:val="en-US" w:eastAsia="zh-CN"/>
        </w:rPr>
        <w:t>72.65%；</w:t>
      </w:r>
      <w:r>
        <w:rPr>
          <w:rFonts w:hint="eastAsia" w:ascii="仿宋_GB2312" w:hAnsi="仿宋" w:eastAsia="仿宋_GB2312"/>
          <w:color w:val="auto"/>
          <w:sz w:val="32"/>
          <w:szCs w:val="32"/>
          <w:highlight w:val="none"/>
          <w:lang w:eastAsia="zh-CN"/>
        </w:rPr>
        <w:t>根据《中华人民共和国刑法》第二百零一条第一款“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第四款“有第一款行为，经税务机关依法下达追缴通知后，补缴应纳税款，缴纳滞纳金，已受行政处罚的，不予追究刑事责任；但是，五年内因逃避缴纳税款受过刑事处罚或者被税务机关给予二次以上行政处罚的除外”的规定，若你单位下达追缴通知后，不补缴查补的税款、滞纳金或不接受行政处罚的，应移送公安部门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综上，本次检查查补</w:t>
      </w:r>
      <w:r>
        <w:rPr>
          <w:rFonts w:hint="eastAsia" w:ascii="仿宋_GB2312" w:hAnsi="仿宋_GB2312" w:eastAsia="仿宋_GB2312" w:cs="仿宋_GB2312"/>
          <w:color w:val="auto"/>
          <w:sz w:val="32"/>
          <w:szCs w:val="32"/>
          <w:lang w:val="en-US" w:eastAsia="zh-CN"/>
        </w:rPr>
        <w:t>增值税1477379.25元，</w:t>
      </w:r>
      <w:r>
        <w:rPr>
          <w:rFonts w:hint="eastAsia" w:ascii="仿宋_GB2312" w:hAnsi="仿宋_GB2312" w:eastAsia="仿宋_GB2312" w:cs="仿宋_GB2312"/>
          <w:color w:val="auto"/>
          <w:sz w:val="32"/>
          <w:szCs w:val="32"/>
          <w:highlight w:val="none"/>
          <w:lang w:eastAsia="zh-CN"/>
        </w:rPr>
        <w:t>城市维护建设税</w:t>
      </w:r>
      <w:r>
        <w:rPr>
          <w:rFonts w:hint="eastAsia" w:ascii="仿宋_GB2312" w:hAnsi="仿宋_GB2312" w:eastAsia="仿宋_GB2312" w:cs="仿宋_GB2312"/>
          <w:color w:val="auto"/>
          <w:sz w:val="32"/>
          <w:szCs w:val="32"/>
          <w:lang w:val="en-US" w:eastAsia="zh-CN"/>
        </w:rPr>
        <w:t>103416.54</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教育费附加</w:t>
      </w:r>
      <w:r>
        <w:rPr>
          <w:rFonts w:hint="eastAsia" w:ascii="仿宋_GB2312" w:hAnsi="仿宋_GB2312" w:eastAsia="仿宋_GB2312" w:cs="仿宋_GB2312"/>
          <w:color w:val="auto"/>
          <w:sz w:val="32"/>
          <w:szCs w:val="32"/>
          <w:lang w:val="en-US" w:eastAsia="zh-CN"/>
        </w:rPr>
        <w:t>44321.38</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地方教育附加</w:t>
      </w:r>
      <w:r>
        <w:rPr>
          <w:rFonts w:hint="eastAsia" w:ascii="仿宋_GB2312" w:hAnsi="仿宋_GB2312" w:eastAsia="仿宋_GB2312" w:cs="仿宋_GB2312"/>
          <w:color w:val="auto"/>
          <w:sz w:val="32"/>
          <w:szCs w:val="32"/>
          <w:lang w:val="en-US" w:eastAsia="zh-CN"/>
        </w:rPr>
        <w:t>29547.59</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lang w:val="en-US" w:eastAsia="zh-CN"/>
        </w:rPr>
        <w:t>合计1654664.76元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限你单位自收到本决定书之日起</w:t>
      </w:r>
      <w:bookmarkStart w:id="3" w:name="xjts"/>
      <w:bookmarkEnd w:id="3"/>
      <w:r>
        <w:rPr>
          <w:rFonts w:hint="eastAsia" w:ascii="仿宋_GB2312" w:hAnsi="仿宋_GB2312" w:eastAsia="仿宋_GB2312" w:cs="仿宋_GB2312"/>
          <w:color w:val="auto"/>
          <w:sz w:val="32"/>
          <w:szCs w:val="32"/>
          <w:lang w:eastAsia="zh-CN"/>
        </w:rPr>
        <w:t>15</w:t>
      </w:r>
      <w:r>
        <w:rPr>
          <w:rFonts w:hint="eastAsia" w:ascii="仿宋_GB2312" w:hAnsi="仿宋_GB2312" w:eastAsia="仿宋_GB2312" w:cs="仿宋_GB2312"/>
          <w:color w:val="auto"/>
          <w:sz w:val="32"/>
          <w:szCs w:val="32"/>
        </w:rPr>
        <w:t>日内到</w:t>
      </w:r>
      <w:bookmarkStart w:id="4" w:name="jkdd"/>
      <w:bookmarkEnd w:id="4"/>
      <w:r>
        <w:rPr>
          <w:rFonts w:hint="eastAsia" w:ascii="仿宋_GB2312" w:hAnsi="仿宋_GB2312" w:eastAsia="仿宋_GB2312" w:cs="仿宋_GB2312"/>
          <w:color w:val="auto"/>
          <w:sz w:val="32"/>
          <w:szCs w:val="32"/>
          <w:lang w:eastAsia="zh-CN"/>
        </w:rPr>
        <w:t>国家税务总局乌海市</w:t>
      </w:r>
      <w:r>
        <w:rPr>
          <w:rFonts w:hint="eastAsia" w:ascii="仿宋_GB2312" w:hAnsi="仿宋_GB2312" w:eastAsia="仿宋_GB2312" w:cs="仿宋_GB2312"/>
          <w:color w:val="auto"/>
          <w:sz w:val="32"/>
          <w:szCs w:val="32"/>
          <w:lang w:val="en-US" w:eastAsia="zh-CN"/>
        </w:rPr>
        <w:t>海勃湾区</w:t>
      </w:r>
      <w:r>
        <w:rPr>
          <w:rFonts w:hint="eastAsia" w:ascii="仿宋_GB2312" w:hAnsi="仿宋_GB2312" w:eastAsia="仿宋_GB2312" w:cs="仿宋_GB2312"/>
          <w:color w:val="auto"/>
          <w:sz w:val="32"/>
          <w:szCs w:val="32"/>
          <w:lang w:eastAsia="zh-CN"/>
        </w:rPr>
        <w:t>税务局</w:t>
      </w:r>
      <w:r>
        <w:rPr>
          <w:rFonts w:hint="eastAsia" w:ascii="仿宋_GB2312" w:hAnsi="仿宋_GB2312" w:eastAsia="仿宋_GB2312" w:cs="仿宋_GB2312"/>
          <w:color w:val="auto"/>
          <w:sz w:val="32"/>
          <w:szCs w:val="32"/>
        </w:rPr>
        <w:t>将上述税款及滞纳金缴纳入库，并按照规定进行相关账务调整。逾期未缴清的，将依照《中华人民共和国税收征收管理法》第四十条“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一)书面通知其开户银行或者其他金融机构从其存款中扣缴税款;(二)扣押、查封、依法拍卖或者变卖其价值相当于应纳税款的商品、货物或者其他财产，以拍卖或者变卖所得抵缴税款。税务机关采取强制执行措施时，对前款所列纳税人、扣缴义务人、纳税担保人未缴纳的滞纳金同时强制执行。个人及其所扶养家属维持生活必需的住房和用品，不在强制执行措施的范围之内”之规定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你单位若同我局在纳税上有争议，必须先依照本决定的期限缴纳税款及滞纳金或者提供相应的担保，然后可自上述款项缴清或者提供相应担保被税务机关确认之日起六十日内依法向</w:t>
      </w:r>
      <w:r>
        <w:rPr>
          <w:rFonts w:hint="eastAsia" w:ascii="仿宋_GB2312" w:hAnsi="仿宋_GB2312" w:eastAsia="仿宋_GB2312" w:cs="仿宋_GB2312"/>
          <w:color w:val="auto"/>
          <w:sz w:val="32"/>
          <w:szCs w:val="32"/>
          <w:lang w:val="en-US" w:eastAsia="zh-CN"/>
        </w:rPr>
        <w:t>国家税务总局乌海市税务局</w:t>
      </w:r>
      <w:r>
        <w:rPr>
          <w:rFonts w:hint="eastAsia" w:ascii="仿宋_GB2312" w:hAnsi="仿宋_GB2312" w:eastAsia="仿宋_GB2312" w:cs="仿宋_GB2312"/>
          <w:color w:val="auto"/>
          <w:sz w:val="32"/>
          <w:szCs w:val="32"/>
        </w:rPr>
        <w:t>申请行政复议。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840" w:rightChars="40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 w:hAnsi="仿宋" w:eastAsia="仿宋"/>
          <w:color w:val="auto"/>
          <w:sz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46CC3"/>
    <w:multiLevelType w:val="singleLevel"/>
    <w:tmpl w:val="B1B46CC3"/>
    <w:lvl w:ilvl="0" w:tentative="0">
      <w:start w:val="2"/>
      <w:numFmt w:val="chineseCounting"/>
      <w:suff w:val="nothing"/>
      <w:lvlText w:val="%1、"/>
      <w:lvlJc w:val="left"/>
      <w:rPr>
        <w:rFonts w:hint="eastAsia"/>
      </w:rPr>
    </w:lvl>
  </w:abstractNum>
  <w:abstractNum w:abstractNumId="1">
    <w:nsid w:val="D1D7DED0"/>
    <w:multiLevelType w:val="singleLevel"/>
    <w:tmpl w:val="D1D7DED0"/>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488F"/>
    <w:rsid w:val="019F380F"/>
    <w:rsid w:val="02435808"/>
    <w:rsid w:val="05235254"/>
    <w:rsid w:val="06094576"/>
    <w:rsid w:val="06854CF2"/>
    <w:rsid w:val="07856C24"/>
    <w:rsid w:val="09C0029D"/>
    <w:rsid w:val="0B072EAF"/>
    <w:rsid w:val="0C621E94"/>
    <w:rsid w:val="0D8B2355"/>
    <w:rsid w:val="0F7B4D6A"/>
    <w:rsid w:val="0FE56B97"/>
    <w:rsid w:val="100968F8"/>
    <w:rsid w:val="12FD579F"/>
    <w:rsid w:val="132C33AC"/>
    <w:rsid w:val="14F71187"/>
    <w:rsid w:val="15BE5D9D"/>
    <w:rsid w:val="18B8295C"/>
    <w:rsid w:val="19F8022F"/>
    <w:rsid w:val="1A8D64BA"/>
    <w:rsid w:val="1B831CFC"/>
    <w:rsid w:val="1D03525D"/>
    <w:rsid w:val="24E553D3"/>
    <w:rsid w:val="26753EEB"/>
    <w:rsid w:val="26783A85"/>
    <w:rsid w:val="27143DBB"/>
    <w:rsid w:val="289C55AE"/>
    <w:rsid w:val="292B3FC9"/>
    <w:rsid w:val="2A37677F"/>
    <w:rsid w:val="2BDC7AE7"/>
    <w:rsid w:val="2C276AFF"/>
    <w:rsid w:val="2C3D7FAC"/>
    <w:rsid w:val="2E0D7112"/>
    <w:rsid w:val="2E787014"/>
    <w:rsid w:val="2EB17481"/>
    <w:rsid w:val="2F772EA6"/>
    <w:rsid w:val="30AD7A49"/>
    <w:rsid w:val="30B125B5"/>
    <w:rsid w:val="33D81DCD"/>
    <w:rsid w:val="352159C2"/>
    <w:rsid w:val="3633354C"/>
    <w:rsid w:val="37802BFA"/>
    <w:rsid w:val="37E42793"/>
    <w:rsid w:val="381F064E"/>
    <w:rsid w:val="3B032ACA"/>
    <w:rsid w:val="3E171A14"/>
    <w:rsid w:val="43B4581C"/>
    <w:rsid w:val="445E4B16"/>
    <w:rsid w:val="45355359"/>
    <w:rsid w:val="46D46EC0"/>
    <w:rsid w:val="481D642E"/>
    <w:rsid w:val="499F4F00"/>
    <w:rsid w:val="4A2A7BBA"/>
    <w:rsid w:val="4A7724DD"/>
    <w:rsid w:val="4BC23BB6"/>
    <w:rsid w:val="4C1B5EBC"/>
    <w:rsid w:val="4E6E797C"/>
    <w:rsid w:val="50555FF7"/>
    <w:rsid w:val="51711831"/>
    <w:rsid w:val="53644CD0"/>
    <w:rsid w:val="53786CBE"/>
    <w:rsid w:val="57C97104"/>
    <w:rsid w:val="58117F07"/>
    <w:rsid w:val="59090892"/>
    <w:rsid w:val="5B9436F4"/>
    <w:rsid w:val="5BE03F2D"/>
    <w:rsid w:val="5FFB0D03"/>
    <w:rsid w:val="60107BB9"/>
    <w:rsid w:val="684E32D0"/>
    <w:rsid w:val="6B5740DC"/>
    <w:rsid w:val="6CDD7F96"/>
    <w:rsid w:val="70E418CD"/>
    <w:rsid w:val="714303DF"/>
    <w:rsid w:val="720D53AB"/>
    <w:rsid w:val="7302586A"/>
    <w:rsid w:val="7D2D08C1"/>
    <w:rsid w:val="7F412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eastAsia="宋体"/>
      <w:kern w:val="2"/>
      <w:sz w:val="21"/>
      <w:szCs w:val="21"/>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customStyle="1" w:styleId="10">
    <w:name w:val="普通(网站) Char"/>
    <w:basedOn w:val="1"/>
    <w:qFormat/>
    <w:uiPriority w:val="0"/>
    <w:pPr>
      <w:spacing w:before="100" w:beforeAutospacing="1" w:after="100" w:afterAutospacing="1"/>
      <w:ind w:left="0" w:right="0"/>
      <w:jc w:val="left"/>
    </w:pPr>
    <w:rPr>
      <w:rFonts w:hint="eastAsia" w:ascii="微软雅黑" w:hAnsi="微软雅黑" w:eastAsia="微软雅黑" w:cs="微软雅黑"/>
      <w:color w:val="333333"/>
      <w:kern w:val="0"/>
      <w:sz w:val="27"/>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3514</Words>
  <Characters>4137</Characters>
  <Lines>0</Lines>
  <Paragraphs>0</Paragraphs>
  <TotalTime>3</TotalTime>
  <ScaleCrop>false</ScaleCrop>
  <LinksUpToDate>false</LinksUpToDate>
  <CharactersWithSpaces>4186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2024-05-08T08:40:00Z</dcterms:created>
  <dc:creator>询问室02</dc:creator>
  <cp:lastModifiedBy>李月姣</cp:lastModifiedBy>
  <cp:lastPrinted>2025-12-30T03:05:00Z</cp:lastPrinted>
  <dcterms:modified xsi:type="dcterms:W3CDTF">2026-01-19T02:15:40Z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eyJoZGlkIjoiNDdkZTVjZTQ4YTgxYjljNDUzYWEyZjQ4YmRlZTA4ZWMiLCJ1c2VySWQiOiIzMTE4NTY3ODEifQ==</vt:lpwstr>
  </property>
  <property fmtid="{D5CDD505-2E9C-101B-9397-08002B2CF9AE}" pid="4" name="ICV">
    <vt:lpwstr>3F62AB3D4F544F86AF1894814D5A7121_13</vt:lpwstr>
  </property>
</Properties>
</file>