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overflowPunct/>
        <w:topLinePunct w:val="0"/>
        <w:autoSpaceDE/>
        <w:autoSpaceDN/>
        <w:bidi w:val="0"/>
        <w:adjustRightInd/>
        <w:spacing w:line="560" w:lineRule="exact"/>
        <w:textAlignment w:val="auto"/>
        <w:rPr>
          <w:rFonts w:hint="eastAsia" w:eastAsia="宋体"/>
          <w:color w:val="auto"/>
          <w:sz w:val="44"/>
          <w:szCs w:val="44"/>
          <w:lang w:eastAsia="zh-CN"/>
        </w:rPr>
      </w:pPr>
      <w:r>
        <w:rPr>
          <w:rFonts w:hint="eastAsia"/>
          <w:color w:val="auto"/>
          <w:sz w:val="44"/>
          <w:szCs w:val="44"/>
          <w:lang w:eastAsia="zh-CN"/>
        </w:rPr>
        <w:t>国家税务总局</w:t>
      </w:r>
      <w:r>
        <w:rPr>
          <w:rFonts w:hint="eastAsia"/>
          <w:color w:val="auto"/>
          <w:sz w:val="44"/>
          <w:szCs w:val="44"/>
          <w:lang w:val="en-US" w:eastAsia="zh-CN"/>
        </w:rPr>
        <w:t>乌海市</w:t>
      </w:r>
      <w:r>
        <w:rPr>
          <w:rFonts w:hint="eastAsia"/>
          <w:color w:val="auto"/>
          <w:sz w:val="44"/>
          <w:szCs w:val="44"/>
          <w:lang w:eastAsia="zh-CN"/>
        </w:rPr>
        <w:t>税务局稽查局</w:t>
      </w:r>
    </w:p>
    <w:p>
      <w:pPr>
        <w:pStyle w:val="4"/>
        <w:keepNext w:val="0"/>
        <w:keepLines w:val="0"/>
        <w:pageBreakBefore w:val="0"/>
        <w:widowControl w:val="0"/>
        <w:kinsoku/>
        <w:overflowPunct/>
        <w:topLinePunct w:val="0"/>
        <w:autoSpaceDE/>
        <w:autoSpaceDN/>
        <w:bidi w:val="0"/>
        <w:adjustRightInd/>
        <w:spacing w:line="560" w:lineRule="exact"/>
        <w:textAlignment w:val="auto"/>
        <w:rPr>
          <w:color w:val="auto"/>
          <w:sz w:val="52"/>
          <w:szCs w:val="52"/>
        </w:rPr>
      </w:pPr>
      <w:r>
        <w:rPr>
          <w:rFonts w:hint="eastAsia"/>
          <w:color w:val="auto"/>
          <w:sz w:val="52"/>
          <w:szCs w:val="52"/>
        </w:rPr>
        <w:t>税务处理决定书</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b w:val="0"/>
          <w:color w:val="auto"/>
          <w:lang w:eastAsia="zh-CN"/>
        </w:rPr>
      </w:pPr>
      <w:r>
        <w:rPr>
          <w:rFonts w:hint="eastAsia" w:ascii="仿宋_GB2312" w:hAnsi="仿宋" w:eastAsia="仿宋_GB2312"/>
          <w:b w:val="0"/>
          <w:color w:val="auto"/>
          <w:lang w:eastAsia="zh-CN"/>
        </w:rPr>
        <w:t>乌海税稽处〔</w:t>
      </w:r>
      <w:r>
        <w:rPr>
          <w:rFonts w:hint="eastAsia" w:ascii="仿宋_GB2312" w:hAnsi="仿宋" w:eastAsia="仿宋_GB2312"/>
          <w:b w:val="0"/>
          <w:color w:val="auto"/>
          <w:lang w:val="en-US" w:eastAsia="zh-CN"/>
        </w:rPr>
        <w:t>2026</w:t>
      </w:r>
      <w:r>
        <w:rPr>
          <w:rFonts w:hint="eastAsia" w:ascii="仿宋_GB2312" w:hAnsi="仿宋" w:eastAsia="仿宋_GB2312"/>
          <w:b w:val="0"/>
          <w:color w:val="auto"/>
          <w:lang w:eastAsia="zh-CN"/>
        </w:rPr>
        <w:t>〕</w:t>
      </w:r>
      <w:r>
        <w:rPr>
          <w:rFonts w:hint="eastAsia" w:ascii="仿宋_GB2312" w:hAnsi="仿宋" w:eastAsia="仿宋_GB2312"/>
          <w:b w:val="0"/>
          <w:color w:val="auto"/>
          <w:lang w:val="en-US" w:eastAsia="zh-CN"/>
        </w:rPr>
        <w:t>3</w:t>
      </w:r>
      <w:r>
        <w:rPr>
          <w:rFonts w:hint="eastAsia" w:ascii="仿宋_GB2312" w:hAnsi="仿宋" w:eastAsia="仿宋_GB2312"/>
          <w:b w:val="0"/>
          <w:color w:val="auto"/>
          <w:lang w:eastAsia="zh-CN"/>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乌海市六源煤炭商贸有限责任公司：（纳税人识别号：</w:t>
      </w:r>
      <w:r>
        <w:rPr>
          <w:rFonts w:hint="eastAsia" w:ascii="仿宋_GB2312" w:hAnsi="仿宋_GB2312" w:eastAsia="仿宋_GB2312" w:cs="仿宋_GB2312"/>
          <w:color w:val="auto"/>
          <w:sz w:val="32"/>
          <w:szCs w:val="32"/>
        </w:rPr>
        <w:t>91150302MABQB1U395</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44"/>
        </w:rPr>
      </w:pPr>
      <w:r>
        <w:rPr>
          <w:rFonts w:hint="eastAsia" w:ascii="仿宋_GB2312" w:hAnsi="仿宋" w:eastAsia="仿宋_GB2312"/>
          <w:color w:val="auto"/>
          <w:sz w:val="32"/>
        </w:rPr>
        <w:t>我局</w:t>
      </w:r>
      <w:r>
        <w:rPr>
          <w:rFonts w:hint="eastAsia" w:ascii="仿宋_GB2312" w:hAnsi="仿宋" w:eastAsia="仿宋_GB2312"/>
          <w:color w:val="auto"/>
          <w:sz w:val="32"/>
          <w:lang w:eastAsia="zh-CN"/>
        </w:rPr>
        <w:t>（所）于</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月1</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日</w:t>
      </w:r>
      <w:r>
        <w:rPr>
          <w:rFonts w:hint="eastAsia" w:ascii="仿宋_GB2312" w:hAnsi="仿宋" w:eastAsia="仿宋_GB2312"/>
          <w:color w:val="auto"/>
          <w:sz w:val="32"/>
        </w:rPr>
        <w:t>至</w:t>
      </w:r>
      <w:r>
        <w:rPr>
          <w:rFonts w:hint="eastAsia" w:ascii="仿宋_GB2312" w:hAnsi="仿宋" w:eastAsia="仿宋_GB2312"/>
          <w:color w:val="auto"/>
          <w:sz w:val="32"/>
          <w:szCs w:val="32"/>
          <w:lang w:val="en-US" w:eastAsia="zh-CN"/>
        </w:rPr>
        <w:t>2025</w:t>
      </w:r>
      <w:r>
        <w:rPr>
          <w:rFonts w:hint="eastAsia" w:ascii="仿宋_GB2312" w:hAnsi="仿宋" w:eastAsia="仿宋_GB2312"/>
          <w:color w:val="auto"/>
          <w:sz w:val="32"/>
          <w:lang w:eastAsia="zh-CN"/>
        </w:rPr>
        <w:t>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lang w:eastAsia="zh-CN"/>
        </w:rPr>
        <w:t>月</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lang w:eastAsia="zh-CN"/>
        </w:rPr>
        <w:t>日</w:t>
      </w:r>
      <w:r>
        <w:rPr>
          <w:rFonts w:hint="eastAsia" w:ascii="仿宋_GB2312" w:hAnsi="仿宋_GB2312" w:eastAsia="仿宋_GB2312" w:cs="仿宋_GB2312"/>
          <w:color w:val="auto"/>
          <w:sz w:val="32"/>
          <w:szCs w:val="32"/>
          <w:lang w:eastAsia="zh-CN"/>
        </w:rPr>
        <w:t>（地址：</w:t>
      </w:r>
      <w:r>
        <w:rPr>
          <w:rFonts w:hint="eastAsia" w:ascii="仿宋_GB2312" w:hAnsi="仿宋_GB2312" w:eastAsia="仿宋_GB2312" w:cs="仿宋_GB2312"/>
          <w:color w:val="auto"/>
          <w:sz w:val="32"/>
          <w:szCs w:val="32"/>
        </w:rPr>
        <w:t>内蒙古自治区乌海市海勃湾区黄河大街瑛隆教育基地三楼301、302室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rPr>
        <w:t>2022年6月9日至</w:t>
      </w:r>
      <w:bookmarkStart w:id="0" w:name="jcssqjz"/>
      <w:bookmarkEnd w:id="0"/>
      <w:r>
        <w:rPr>
          <w:rFonts w:hint="eastAsia" w:ascii="仿宋_GB2312" w:hAnsi="仿宋_GB2312" w:eastAsia="仿宋_GB2312" w:cs="仿宋_GB2312"/>
          <w:color w:val="auto"/>
          <w:sz w:val="32"/>
        </w:rPr>
        <w:t>2023年12月31日</w:t>
      </w:r>
      <w:r>
        <w:rPr>
          <w:rFonts w:hint="eastAsia" w:ascii="仿宋_GB2312" w:hAnsi="仿宋" w:eastAsia="仿宋_GB2312"/>
          <w:color w:val="auto"/>
          <w:sz w:val="32"/>
          <w:lang w:eastAsia="zh-CN"/>
        </w:rPr>
        <w:t>涉税</w:t>
      </w:r>
      <w:r>
        <w:rPr>
          <w:rFonts w:hint="eastAsia" w:ascii="仿宋_GB2312" w:hAnsi="仿宋" w:eastAsia="仿宋_GB2312"/>
          <w:color w:val="auto"/>
          <w:sz w:val="32"/>
        </w:rPr>
        <w:t>情况进行了检查，违法事实及处理决定如下：</w:t>
      </w:r>
    </w:p>
    <w:p>
      <w:pPr>
        <w:keepNext w:val="0"/>
        <w:keepLines w:val="0"/>
        <w:pageBreakBefore w:val="0"/>
        <w:widowControl w:val="0"/>
        <w:numPr>
          <w:ilvl w:val="0"/>
          <w:numId w:val="1"/>
        </w:numPr>
        <w:kinsoku/>
        <w:overflowPunct/>
        <w:topLinePunct w:val="0"/>
        <w:autoSpaceDE/>
        <w:autoSpaceDN/>
        <w:bidi w:val="0"/>
        <w:adjustRightInd/>
        <w:spacing w:line="560" w:lineRule="exact"/>
        <w:ind w:hanging="33"/>
        <w:textAlignment w:val="auto"/>
        <w:rPr>
          <w:rFonts w:ascii="黑体" w:hAnsi="华文仿宋" w:eastAsia="黑体"/>
          <w:color w:val="auto"/>
          <w:sz w:val="32"/>
        </w:rPr>
      </w:pPr>
      <w:r>
        <w:rPr>
          <w:rFonts w:hint="eastAsia" w:ascii="黑体" w:hAnsi="华文仿宋" w:eastAsia="黑体"/>
          <w:color w:val="auto"/>
          <w:sz w:val="32"/>
        </w:rPr>
        <w:t>违法事实</w:t>
      </w:r>
      <w:r>
        <w:rPr>
          <w:rFonts w:hint="eastAsia" w:ascii="黑体" w:hAnsi="华文仿宋" w:eastAsia="黑体"/>
          <w:color w:val="auto"/>
          <w:sz w:val="32"/>
          <w:lang w:eastAsia="zh-CN"/>
        </w:rPr>
        <w:t>及证据</w:t>
      </w:r>
      <w:r>
        <w:rPr>
          <w:rFonts w:hint="eastAsia" w:ascii="黑体" w:hAnsi="华文仿宋" w:eastAsia="黑体"/>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至2023年，宁夏昊丰伟业钢铁股份有限公司向乌海市六源煤炭商贸有限责任公司支付货款共计12280万元，乌海市六源煤炭商贸有限责任公司为宁夏昊丰伟业钢铁股份有限公司供应焦炭价值122364544.76元，但仅开具金额为110628614.07元的增值税专用发票，剩余金额11735930.69元的</w:t>
      </w:r>
      <w:bookmarkStart w:id="4" w:name="_GoBack"/>
      <w:bookmarkEnd w:id="4"/>
      <w:r>
        <w:rPr>
          <w:rFonts w:hint="eastAsia" w:ascii="仿宋_GB2312" w:hAnsi="仿宋_GB2312" w:eastAsia="仿宋_GB2312" w:cs="仿宋_GB2312"/>
          <w:color w:val="auto"/>
          <w:sz w:val="32"/>
          <w:szCs w:val="32"/>
          <w:lang w:eastAsia="zh-CN"/>
        </w:rPr>
        <w:t>发票未向宁夏昊丰伟业钢铁股份有限公司开具，相关收入未做账务处理、未进行纳税申报。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本次检查你单位需补缴增值税1,350,151.32元，城市维护建设税47,255.30元，教育费附加20,252.27元，应补缴地方教育附加13,501.52元，水利建设基金6,750.75元，企业所得税15,369.84元。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1、增值税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增值税暂行条例》第一条“在中华人民共和国境内销售货物或者加工、修理修配劳务(以下简称劳务)，销售服务、无形资产、不动产以及进口货物的单位和个人，为增值税的纳税人，应当依照本条例缴纳增值税。”，第二条“增值税税率：（一）纳税人销售货物、劳务、有形动产租赁服务或者进口货物，除本条第二项、第四项、第五项另有规定外，税率为17%。（二）纳税人销售交通运输、邮政、基础电信、建筑、不动产租赁服务，销售不动产，转让土地使用权，销售或者进口下列货物，税率为11%：1.粮食等农产品、食用植物油、食用盐；2.自来水、暖气、冷气、热水、煤气、石油液化气、天然气、二甲醚、沼气、居民用煤炭制品；3.图书、报纸、杂志、音像制品、电子出版物；4.饲料、化肥、农药、农机、农膜；5.国务院规定的其他货物。（三）纳税人销售服务、无形资产，除本条第一项、第二项、第五项另有规定外，税率为6%。（四）纳税人出口货物，税率为零；但是，国务院另有规定的除外。（五）境内单位和个人跨境销售国务院规定范围内的服务、无形资产，税率为零。税率的调整，由国务院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《财政部 税务总局关于调整增值税税率的通知》（财税〔2018〕32号）“一、纳税人发生增值税应税销售行为或者进口货物，原适用17%和11%税率的，税率分别调整为16%、10%。……六、本通知自2018年5月1日起执行。此前有关规定与本通知规定的增值税税率、扣除率、出口退税率不一致的，以本通知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《财政部 税务总局 海关总署关于深化增值税改革有关政策的公告》（财政部 税务总局 海关总署公告2019年第39号）“一、增值税一般纳税人（以下称纳税人）发生增值税应税销售行为或者进口货物，原适用16%税率的，税率调整为13%；原适用10%税率的，税率调整为9%。……九、本公告自2019年4月1日起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追缴你单位所属期2023年11月少申报缴纳增值税：1309224.51元，所属期2023年12月少申报缴纳增值税：40926.81元。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2、城市维护建设税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城市维护建设税暂行条例》第二条“凡缴纳消费税、增值税、营业税的单位和个人，都是城市维护建设税的纳税义务人（以下简称纳税人），都应当依照本条例的规定缴纳城市维护建设税”、第三条“城市维护建设税，以纳税人实际缴纳的消费税、增值税、营业税税额为计税依据，分别与消费税、增值税、营业税同时缴纳”、第四条“城市维护建设税税率如下：纳税人所在地在市区的，税率为7%；纳税人所在地在县城、镇的，税率为5%；纳税人所在地不在市区、县城或镇的，税率为1%”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以及根据《财政部 税务总局关于进一步实施小微企业“六税两费”减免政策的公告》（财政部 税务总局公告2022年第10号）规定，“一、由省、自治区、直辖市人民政府根据本地区实际情况，以及宏观调控需要确定，对增值税小规模纳税人、小型微利企业和个体工商户可以在50%的税额幅度内减征资源税、城市维护建设税、房产税、城镇土地使用税、印花税、耕地占用税、教育费附加、地方教育附加。……四、本公告执行期限为2022年1月1日至2024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《内蒙古自治区财政厅 国家税务总局内蒙古自治区税务局关于进一步实施“六税两费”减免政策的通知》（内财税〔2022〕325号）“各盟市财政局、计划单列市财政局，国家税务总局各盟市税务局、计划单列市税务局：为了深入贯彻落实党中央、国务院减税降费决策部署，根据《财政部税务总局关于进一步实施小微企业“六税两费”减免政策的公告》（2022年第10号），经自治区人民政府同意，现将有关政策通知如下：一、对增值税小规模纳税人、小型微利企业和个体工商户减按50%征收资源税（不含水资源税）、城市维护建设税、房产税、城镇土地使用税、印花税(不含证券交易印花税)、耕地占用税和教育费附加、地方教育附加。 二、对小型微利企业判定标准等相关规定按照《财政部国家税务总局关于进一步实施小微企业“六税两费”减免政策的公告》（2022年第10号）执行。三、本通知执行期限为2022年1月1日至2024年12月31日。”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追缴你单位所属期2023年11月应补缴城市维护建设税：45822.86元，所属期2023年12月应补缴城市维护建设税：1432.44元。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3.教育费附加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根据《征收教育费附加的暂行规定》（国务院令〔1990〕60号）第三条“ 教育费附加，以各单位和个人实际缴纳的增值税、营业税、消费税的税额为计征依据，教育费附加率为3%，分别与增值税、营业税、消费税同时缴纳”。第六条“教育费附加的征收管理，按照消费税、增值税、营业税的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《财政部 税务总局关于进一步实施小微企业“六税两费”减免政策的公告》（财政部 税务总局公告2022年第10号）规定，“一、由省、自治区、直辖市人民政府根据本地区实际情况，以及宏观调控需要确定，对增值税小规模纳税人、小型微利企业和个体工商户可以在50%的税额幅度内减征资源税、城市维护建设税、房产税、城镇土地使用税、印花税、耕地占用税、教育费附加、地方教育附加。……四、本公告执行期限为2022年1月1日至2024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《内蒙古自治区财政厅 国家税务总局内蒙古自治区税务局关于进一步实施“六税两费”减免政策的通知》（内财税〔2022〕325号）“各盟市财政局、计划单列市财政局，国家税务总局各盟市税务局、计划单列市税务局：为了深入贯彻落实党中央、国务院减税降费决策部署，根据《财政部税务总局关于进一步实施小微企业“六税两费”减免政策的公告》（2022年第10号），经自治区人民政府同意，现将有关政策通知如下：一、对增值税小规模纳税人、小型微利企业和个体工商户减按50%征收资源税（不含水资源税）、城市维护建设税、房产税、城镇土地使用税、印花税(不含证券交易印花税)、耕地占用税和教育费附加、地方教育附加。 二、对小型微利企业判定标准等相关规定按照《财政部国家税务总局关于进一步实施小微企业“六税两费”减免政策的公告》（2022年第10号）执行。三、本通知执行期限为2022年1月1日至2024年12月31日。”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追缴你单位所属期2023年11月应补缴教育费附加：19638.37元，所属期2023年12月应补缴教育费附加：613.9元。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4.地方教育附加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根据《内蒙古自治区人民政府关于印发&lt;内蒙古自治区地方教育附加征收使用管理办法&gt;的通知》（内政字〔2005〕255号）　　“第四条　自治区行政区域内所有缴纳增值税、营业税、消费税（以下简称“三税”）的单位和个人均应缴纳地方教育附加。第五条　地方教育附加的征收标准为单位和个人实际缴纳“三税”税额的1％。”、《关于同意内蒙古自治区政府地方教育费附加的函》（财综函[2005]33号）、《内蒙古自治区人民政府办公厅关于调整地方教育附加征收标准的通知》（内政办发〔2011〕25号）:第一条“征收标准 全区地方教育附加征收标准统一调整为单位和个人（包括外商投资企业、外国企业及外籍个人）实际缴纳增值税、营业税、消费税税额2%。”第二条“执行时间 调整后的征收标准从2011年2月1日起执行”、《内蒙古自治区人民政府关于印发&lt;内蒙古自治区地方教育附加征收使用管理办法&gt;的通知》（内政字〔2016〕64号）“第四条 自治区行政区域内所有缴纳增值税、营业税、消费税（以下简称“三税”）的单位和个人（包括外商投资企业、外国企业及外籍个人），应当依照本办法缴纳地方教育附加。第五条 地方教育附加的征收标准为单位和个人实际缴纳“三税”税额的2%。第二十二条 本办法自印发之日起施行。发文日期：2016年03月14日”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《财政部 税务总局关于进一步实施小微企业“六税两费”减免政策的公告》（财政部 税务总局公告2022年第10号）规定，“一、由省、自治区、直辖市人民政府根据本地区实际情况，以及宏观调控需要确定，对增值税小规模纳税人、小型微利企业和个体工商户可以在50%的税额幅度内减征资源税、城市维护建设税、房产税、城镇土地使用税、印花税、耕地占用税、教育费附加、地方教育附加。……四、本公告执行期限为2022年1月1日至2024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《内蒙古自治区财政厅 国家税务总局内蒙古自治区税务局关于进一步实施“六税两费”减免政策的通知》（内财税〔2022〕325号）“各盟市财政局、计划单列市财政局，国家税务总局各盟市税务局、计划单列市税务局：为了深入贯彻落实党中央、国务院减税降费决策部署，根据《财政部税务总局关于进一步实施小微企业“六税两费”减免政策的公告》（2022年第10号），经自治区人民政府同意，现将有关政策通知如下：一、对增值税小规模纳税人、小型微利企业和个体工商户减按50%征收资源税（不含水资源税）、城市维护建设税、房产税、城镇土地使用税、印花税(不含证券交易印花税)、耕地占用税和教育费附加、地方教育附加。 二、对小型微利企业判定标准等相关规定按照《财政部国家税务总局关于进一步实施小微企业“六税两费”减免政策的公告》（2022年第10号）执行。三、本通知执行期限为2022年1月1日至2024年12月31日。”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追缴你单位所属期2023年11月应补缴地方教育附加：13092.25元，所属期2023年12月应补缴地方教育附加：409.27元。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5.水利建设基金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内蒙古自治区人民政府关于印发内蒙古自治区水利建设基金筹集和使用管理实施细则的通知》（内政发[2012]41号）第三条之规定，凡有销售收入或营业收入的企业、事业单位及个体经营者，按上月销售收入或营业收入的千分之一计征。《内蒙古自治区财政厅 税务局 水利厅关于印发自治区水利建设基金筹集和使用管理实施细则的通知》）内财税〔2021〕1055号）第二条第二款规定“2022年1月1日起，自治区行政区域内以纳税人依法实际缴纳的增值税、消费税税额（以下简称两税税额）为计费依据，乘以具体适用费率计征地方水利建设基金，与增值税、消费税同时缴纳。其中，2022年具体适用费率为1%；2023年起具体适用费率为0.5%。规定，追缴企业所属期2023年11月应补缴水利建设基金：6546.12元，所属期2023年12月应补缴水利建设基金：204.63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6.企业所得税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企业所得税法》第一条第一款“在中华人民共和国境内，企业和其他取得收入的组织为企业所得税的纳税人，依照本法的规定缴纳企业所得税”、第四条“企业所得税的税率为25％”，第五条“企业每一纳税年度的收入总额，减除不征税收入、免税收入、各项扣除以及允许弥补的以前年度亏损后的余额，为应纳税所得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企业所得税法实施条例》第九条“企业应纳税所得额的计算，以权责发生制为原则，属于当期的收入和费用，不论款项是否收付，均作为当期的收入和费用;不属于当期的收入和费用，即使款项已经在当期收付，均不作为当期的收入和费用。本条例和国务院财政、税务主管部门另有规定的除外”，第九十二条“符合条件的小型微利企业，是指从事国家非限制和禁止行业，并符合下列条件的企业（1）工业企业，年度应纳税所得额不超过30万元， 从业人数不超过100人，资产总额不超过3000万元（2）其他企业，年度应纳税所得额不超过30万元，从业人数不超过80人，资产总额不超过1000万元。”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根据《财政部 税务总局关于进一步实施小微企业所得税优惠政策的公告》(2022年第13号)“为进一步支持小微企业发展，现将有关税收政策公告如下：一、对小型微利企业年应纳税所得额超过100万元但不超过300万元的部分，减按25%计入应纳税所得额，按20%的税率缴纳企业所得税。三、本公告执行期限为2022年1月1日至2024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根据《国家税务总局关于发布《企业所得税税前扣除凭证管理办法》的公告》（国家税务总局公告2018年第28号）第十三条  企业应当取得而未取得发票、其他外部凭证或者取得不合规发票、不合规其他外部凭证的，若支出真实且已实际发生，应当在当年度汇算清缴期结束前，要求对方补开、换开发票、其他外部凭证。补开、换开后的发票、其他外部凭证符合规定的，可以作为税前扣除凭证。第十四条  企业在补开、换开发票、其他外部凭证过程中，因对方注销、撤销、依法被吊销营业执照、被税务机关认定为非正常户等特殊原因无法补开、换开发票、其他外部凭证的，可凭以下资料证实支出真实性后，其支出允许税前扣除：（一）无法补开、换开发票、其他外部凭证原因的证明资料（包括工商注销、机构撤销、列入非正常经营户、破产公告等证明资料）；（二）相关业务活动的合同或者协议；（三）采用非现金方式支付的付款凭证；（四）货物运输的证明资料；（五）货物入库、出库内部凭证；（六）企业会计核算记录以及其他资料。前款第一项至第三项为必备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追缴企业2023年度应补缴企业所得税：15369.84元。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加收滞纳金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税收征收管理法》（中华人民共和国主席令2001年第49号）第三十二条“纳税人未按照规定期限缴纳税款的，扣缴义务人未按照规定期限解缴税款的，税务机关除责令限期缴纳外，从滞纳税款之日起，按日加收滞纳税款万分之五的滞纳金”的规定，对你单位未按规定期限缴纳的增值税、城市维护建设税、企业所得税加收滞纳金,以实际入库日期金税三期系统计算金额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上述违法事实</w:t>
      </w:r>
      <w:r>
        <w:rPr>
          <w:rFonts w:hint="eastAsia" w:ascii="仿宋_GB2312" w:hAnsi="仿宋_GB2312" w:eastAsia="仿宋_GB2312" w:cs="仿宋_GB2312"/>
          <w:color w:val="auto"/>
          <w:sz w:val="32"/>
          <w:szCs w:val="32"/>
          <w:lang w:eastAsia="zh-CN"/>
        </w:rPr>
        <w:t>，主要有以下证据证明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证据资料一：举报函、宁夏昊丰伟业钢铁股份有限公司情况说明、焦炭买卖合同、宁夏昊丰伟业钢铁股份有限公司记账凭证、宁夏昊丰伟业钢铁股份有限公司结账说明、宁夏昊丰伟业钢铁股份有限公司过磅单复印件、乌海市六源煤炭商贸有限责任公司记账凭证复印件，乌海市六源煤炭商贸有限责任公司对公账户银行流水、乌海市六源煤炭商贸有限责任公司增值税专用发票开票明细、乌海市六源煤炭商贸有限责任公司纳税申报表、《国家税务总局乌海市海勃湾区税务局税务行政处罚决定书》（海区税罚[2025]1号）、乌海市六源煤炭商贸有限责任公司缴纳罚款完税证明、乌海市六源煤炭商贸有限责任公司情况说明、乌海市六源煤炭商贸有限责任公司与天津市诚宏供应链有限公司焦炭买卖合同、结算单、汇款凭证复印件。上述证据资料证明了你公司与宁夏昊丰伟业钢铁股份有限公司的业务往来未按规定开具发票、记账、申报税款的违法事实。</w:t>
      </w:r>
    </w:p>
    <w:p>
      <w:pPr>
        <w:keepNext w:val="0"/>
        <w:keepLines w:val="0"/>
        <w:pageBreakBefore w:val="0"/>
        <w:widowControl w:val="0"/>
        <w:numPr>
          <w:ilvl w:val="0"/>
          <w:numId w:val="0"/>
        </w:numPr>
        <w:kinsoku/>
        <w:overflowPunct/>
        <w:topLinePunct w:val="0"/>
        <w:autoSpaceDE/>
        <w:autoSpaceDN/>
        <w:bidi w:val="0"/>
        <w:adjustRightInd/>
        <w:spacing w:line="560" w:lineRule="exact"/>
        <w:ind w:firstLine="640" w:firstLineChars="200"/>
        <w:textAlignment w:val="auto"/>
        <w:rPr>
          <w:rFonts w:hint="eastAsia" w:ascii="黑体" w:hAnsi="华文仿宋" w:eastAsia="黑体"/>
          <w:color w:val="auto"/>
          <w:sz w:val="32"/>
          <w:lang w:eastAsia="zh-CN"/>
        </w:rPr>
      </w:pPr>
      <w:r>
        <w:rPr>
          <w:rFonts w:hint="eastAsia" w:ascii="黑体" w:hAnsi="华文仿宋" w:eastAsia="黑体"/>
          <w:color w:val="auto"/>
          <w:sz w:val="32"/>
          <w:lang w:val="en-US" w:eastAsia="zh-CN"/>
        </w:rPr>
        <w:t xml:space="preserve">二、 </w:t>
      </w:r>
      <w:r>
        <w:rPr>
          <w:rFonts w:hint="eastAsia" w:ascii="黑体" w:hAnsi="华文仿宋" w:eastAsia="黑体"/>
          <w:color w:val="auto"/>
          <w:sz w:val="32"/>
        </w:rPr>
        <w:t>处理决定</w:t>
      </w:r>
      <w:r>
        <w:rPr>
          <w:rFonts w:hint="eastAsia" w:ascii="黑体" w:hAnsi="华文仿宋" w:eastAsia="黑体"/>
          <w:color w:val="auto"/>
          <w:sz w:val="32"/>
          <w:lang w:eastAsia="zh-CN"/>
        </w:rPr>
        <w:t>及依据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bookmarkStart w:id="1" w:name="cljdjyj"/>
      <w:bookmarkEnd w:id="1"/>
      <w:r>
        <w:rPr>
          <w:rFonts w:hint="eastAsia" w:ascii="仿宋_GB2312" w:hAnsi="仿宋" w:eastAsia="仿宋_GB2312"/>
          <w:color w:val="auto"/>
          <w:sz w:val="32"/>
          <w:szCs w:val="32"/>
          <w:lang w:val="en-US" w:eastAsia="zh-CN"/>
        </w:rPr>
        <w:t>（一）根据</w:t>
      </w:r>
      <w:r>
        <w:rPr>
          <w:rFonts w:hint="eastAsia" w:ascii="仿宋_GB2312" w:hAnsi="仿宋" w:eastAsia="仿宋_GB2312"/>
          <w:color w:val="auto"/>
          <w:sz w:val="32"/>
          <w:szCs w:val="32"/>
        </w:rPr>
        <w:t>《中华人民共和国税收征收管理法》第六十三条第一款“纳税人伪造、变</w:t>
      </w:r>
      <w:r>
        <w:rPr>
          <w:rFonts w:hint="eastAsia" w:ascii="仿宋_GB2312" w:hAnsi="仿宋_GB2312" w:eastAsia="仿宋_GB2312" w:cs="仿宋_GB2312"/>
          <w:color w:val="auto"/>
          <w:sz w:val="32"/>
          <w:szCs w:val="32"/>
        </w:rPr>
        <w:t>造、隐匿、擅自销毁帐簿、记帐凭证，或者在帐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之规定，</w:t>
      </w:r>
      <w:r>
        <w:rPr>
          <w:rFonts w:hint="eastAsia" w:ascii="仿宋" w:hAnsi="仿宋" w:eastAsia="仿宋" w:cs="仿宋"/>
          <w:color w:val="auto"/>
          <w:sz w:val="32"/>
          <w:szCs w:val="32"/>
          <w:lang w:eastAsia="zh-CN"/>
        </w:rPr>
        <w:t>你单位通过在账簿上不列、少列收入，造成了少缴应纳税款的违法行为，</w:t>
      </w:r>
      <w:r>
        <w:rPr>
          <w:rFonts w:hint="eastAsia" w:ascii="仿宋_GB2312" w:hAnsi="仿宋_GB2312" w:eastAsia="仿宋_GB2312" w:cs="仿宋_GB2312"/>
          <w:color w:val="auto"/>
          <w:sz w:val="32"/>
          <w:szCs w:val="32"/>
        </w:rPr>
        <w:t>定性</w:t>
      </w:r>
      <w:r>
        <w:rPr>
          <w:rFonts w:hint="eastAsia" w:ascii="仿宋" w:hAnsi="仿宋" w:eastAsia="仿宋" w:cs="仿宋"/>
          <w:color w:val="auto"/>
          <w:sz w:val="32"/>
          <w:szCs w:val="32"/>
        </w:rPr>
        <w:t>为偷税并追缴相应税款及滞纳金。</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上述少缴增值税1,350,151.32元，城市维护建设税47,255.30元，企业所得税15,369.84元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中华人民共和国税收征收管理法》第三十二条“纳税人未按照规定期限缴纳税款的，扣缴义务人未按照规定期限解缴税款的，税务机关除责令限期缴纳外，从滞纳税款之日起，按日加收滞纳税款万分之五的滞纳金”、《中华人民共和国税收征收管理法实施细则》第七十五条“税收征管法第三十二条规定的加收滞纳金的起止时间，为法律、行政法规规定或者税务机关依照法律、行政法规的规定确定的税款缴纳期限届满次日起至纳税人、扣缴义务人实际缴纳或者解缴税款之日止”及从滞纳税款之日起，按日加收滞纳税款万分之五的滞纳金。</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（三）你单位</w:t>
      </w:r>
      <w:r>
        <w:rPr>
          <w:rFonts w:hint="eastAsia" w:ascii="仿宋_GB2312" w:hAnsi="仿宋" w:eastAsia="仿宋_GB2312"/>
          <w:color w:val="auto"/>
          <w:sz w:val="32"/>
          <w:szCs w:val="32"/>
        </w:rPr>
        <w:t>2023年被定性为偷税的税额合计：1412776.46元，全年应纳税额：1517999.82元，</w:t>
      </w:r>
      <w:r>
        <w:rPr>
          <w:rFonts w:hint="eastAsia" w:ascii="仿宋_GB2312" w:hAnsi="仿宋" w:eastAsia="仿宋_GB2312" w:cs="仿宋"/>
          <w:bCs/>
          <w:color w:val="auto"/>
          <w:sz w:val="32"/>
          <w:szCs w:val="32"/>
        </w:rPr>
        <w:t>偷税税额占当年应纳税额的比例为</w:t>
      </w:r>
      <w:r>
        <w:rPr>
          <w:rFonts w:hint="eastAsia" w:ascii="仿宋_GB2312" w:hAnsi="仿宋" w:eastAsia="仿宋_GB2312"/>
          <w:color w:val="auto"/>
          <w:sz w:val="32"/>
          <w:szCs w:val="32"/>
        </w:rPr>
        <w:t>93.07%</w:t>
      </w:r>
      <w:r>
        <w:rPr>
          <w:rFonts w:hint="eastAsia" w:ascii="仿宋_GB2312" w:hAnsi="仿宋" w:eastAsia="仿宋_GB2312" w:cs="仿宋"/>
          <w:bCs/>
          <w:color w:val="auto"/>
          <w:sz w:val="32"/>
          <w:szCs w:val="32"/>
        </w:rPr>
        <w:t>（当年已纳105223.36元）。根据《中华人民共和国刑法》第二百零一条第一款“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第四款“有第一款行为，经税务机关依法下达追缴通知后，补缴应纳税款，缴纳滞纳金，已受行政处罚的，不予追究刑事责任；但是，五年内因逃避缴纳税款受过刑事处罚或者被税务机关给予二次以上行政处罚的除外”</w:t>
      </w:r>
      <w:r>
        <w:rPr>
          <w:rFonts w:hint="eastAsia" w:ascii="仿宋_GB2312" w:hAnsi="仿宋" w:eastAsia="仿宋_GB2312" w:cs="仿宋"/>
          <w:bCs/>
          <w:color w:val="auto"/>
          <w:sz w:val="32"/>
          <w:szCs w:val="32"/>
          <w:lang w:eastAsia="zh-CN"/>
        </w:rPr>
        <w:t>、</w:t>
      </w:r>
      <w:r>
        <w:rPr>
          <w:rFonts w:hint="eastAsia" w:ascii="仿宋_GB2312" w:hAnsi="仿宋_GB2312" w:eastAsia="仿宋_GB2312" w:cs="仿宋_GB2312"/>
          <w:color w:val="auto"/>
          <w:sz w:val="32"/>
          <w:szCs w:val="32"/>
        </w:rPr>
        <w:t>最高人民检察院</w:t>
      </w:r>
      <w:r>
        <w:rPr>
          <w:rFonts w:hint="eastAsia" w:ascii="仿宋_GB2312" w:hAnsi="仿宋" w:eastAsia="仿宋_GB2312"/>
          <w:color w:val="auto"/>
          <w:sz w:val="32"/>
          <w:szCs w:val="32"/>
        </w:rPr>
        <w:t xml:space="preserve"> 公安部</w:t>
      </w:r>
      <w:r>
        <w:rPr>
          <w:rFonts w:hint="eastAsia" w:ascii="仿宋_GB2312" w:hAnsi="仿宋" w:eastAsia="仿宋_GB2312"/>
          <w:color w:val="auto"/>
          <w:sz w:val="32"/>
          <w:szCs w:val="32"/>
          <w:lang w:val="en-US" w:eastAsia="zh-CN"/>
        </w:rPr>
        <w:t>2022年4月29日联合发布修订后的</w:t>
      </w:r>
      <w:r>
        <w:rPr>
          <w:rFonts w:hint="eastAsia" w:ascii="仿宋_GB2312" w:hAnsi="仿宋" w:eastAsia="仿宋_GB2312"/>
          <w:color w:val="auto"/>
          <w:sz w:val="32"/>
          <w:szCs w:val="32"/>
        </w:rPr>
        <w:t>《关于公安机关管辖的刑事案件立案追诉标准的规定（二）》（第五十</w:t>
      </w:r>
      <w:r>
        <w:rPr>
          <w:rFonts w:hint="eastAsia" w:ascii="仿宋_GB2312" w:hAnsi="仿宋" w:eastAsia="仿宋_GB2312"/>
          <w:color w:val="auto"/>
          <w:sz w:val="32"/>
          <w:szCs w:val="32"/>
          <w:lang w:val="en-US" w:eastAsia="zh-CN"/>
        </w:rPr>
        <w:t>二</w:t>
      </w:r>
      <w:r>
        <w:rPr>
          <w:rFonts w:hint="eastAsia" w:ascii="仿宋_GB2312" w:hAnsi="仿宋" w:eastAsia="仿宋_GB2312"/>
          <w:color w:val="auto"/>
          <w:sz w:val="32"/>
          <w:szCs w:val="32"/>
        </w:rPr>
        <w:t>条第一项规定：“【逃税案（刑法第二百零一条）】逃避缴纳税款，涉嫌下列情形之一的，应予立案追诉：</w:t>
      </w:r>
      <w:r>
        <w:rPr>
          <w:rFonts w:hint="eastAsia" w:ascii="仿宋_GB2312" w:hAnsi="仿宋" w:eastAsia="仿宋_GB2312"/>
          <w:color w:val="auto"/>
          <w:sz w:val="32"/>
          <w:szCs w:val="32"/>
          <w:lang w:val="en-US" w:eastAsia="zh-CN"/>
        </w:rPr>
        <w:t>纳税人采取欺骗、隐瞒手段进行虚假纳税申报或者不申报，逃避缴纳税款，数额在十万元以上并且占各税种应纳税总额百分之十以上，经税务机关依法下达追缴通知后，不补缴应纳税款、不缴纳滞纳金或者不接受行政处罚的”之规定，如你单位未在我局依法下达追缴通知后补缴应纳税款、滞纳金、罚款的，将依法移送司法机关追究刑事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综上所述，本次检查该企业需补缴税费1453281元，其中增值税1,350,151.32元，城市维护建设税47,255.30元，教育费附加20,252.27元，补缴地方教育附加13,501.52元，补缴水利建设基金6,750.75元，企业所得税15,369.84元。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eastAsia="仿宋_GB2312"/>
          <w:color w:val="auto"/>
          <w:sz w:val="32"/>
        </w:rPr>
      </w:pPr>
      <w:r>
        <w:rPr>
          <w:rFonts w:hint="eastAsia" w:ascii="仿宋_GB2312" w:hAnsi="仿宋" w:eastAsia="仿宋_GB2312"/>
          <w:color w:val="auto"/>
          <w:sz w:val="32"/>
        </w:rPr>
        <w:t>限你单位自收到本决定书之日起</w:t>
      </w:r>
      <w:bookmarkStart w:id="2" w:name="xjts"/>
      <w:bookmarkEnd w:id="2"/>
      <w:r>
        <w:rPr>
          <w:rFonts w:hint="eastAsia" w:ascii="仿宋_GB2312" w:hAnsi="仿宋" w:eastAsia="仿宋_GB2312"/>
          <w:color w:val="auto"/>
          <w:sz w:val="32"/>
          <w:lang w:eastAsia="zh-CN"/>
        </w:rPr>
        <w:t>15</w:t>
      </w:r>
      <w:r>
        <w:rPr>
          <w:rFonts w:hint="eastAsia" w:ascii="仿宋_GB2312" w:hAnsi="仿宋" w:eastAsia="仿宋_GB2312"/>
          <w:color w:val="auto"/>
          <w:sz w:val="32"/>
        </w:rPr>
        <w:t>日内到</w:t>
      </w:r>
      <w:bookmarkStart w:id="3" w:name="jkdd"/>
      <w:bookmarkEnd w:id="3"/>
      <w:r>
        <w:rPr>
          <w:rFonts w:hint="eastAsia" w:ascii="仿宋_GB2312" w:hAnsi="仿宋" w:eastAsia="仿宋_GB2312"/>
          <w:color w:val="auto"/>
          <w:sz w:val="32"/>
          <w:lang w:eastAsia="zh-CN"/>
        </w:rPr>
        <w:t>国家税务总局乌海市</w:t>
      </w:r>
      <w:r>
        <w:rPr>
          <w:rFonts w:hint="eastAsia" w:ascii="仿宋_GB2312" w:hAnsi="仿宋" w:eastAsia="仿宋_GB2312"/>
          <w:color w:val="auto"/>
          <w:sz w:val="32"/>
          <w:szCs w:val="32"/>
          <w:lang w:val="en-US" w:eastAsia="zh-CN"/>
        </w:rPr>
        <w:t>海勃湾区</w:t>
      </w:r>
      <w:r>
        <w:rPr>
          <w:rFonts w:hint="eastAsia" w:ascii="仿宋_GB2312" w:hAnsi="仿宋" w:eastAsia="仿宋_GB2312"/>
          <w:color w:val="auto"/>
          <w:sz w:val="32"/>
          <w:lang w:eastAsia="zh-CN"/>
        </w:rPr>
        <w:t>税务局</w:t>
      </w:r>
      <w:r>
        <w:rPr>
          <w:rFonts w:hint="eastAsia" w:ascii="仿宋_GB2312" w:hAnsi="仿宋" w:eastAsia="仿宋_GB2312"/>
          <w:color w:val="auto"/>
          <w:sz w:val="32"/>
        </w:rPr>
        <w:t>将上述税款及滞纳金缴纳入库，并按照规定进行相关账务调整。</w:t>
      </w:r>
      <w:r>
        <w:rPr>
          <w:rFonts w:hint="eastAsia" w:ascii="仿宋_GB2312" w:eastAsia="仿宋_GB2312"/>
          <w:color w:val="auto"/>
          <w:sz w:val="32"/>
        </w:rPr>
        <w:t>逾期未缴清的，将依照《中华人民共和国税收征收管理法》第四十条“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一)书面通知其开户银行或者其他金融机构从其存款中扣缴税款;(二)扣押、查封、依法拍卖或者变卖其价值相当于应纳税款的商品、货物或者其他财产，以拍卖或者变卖所得抵缴税款。税务机关采取强制执行措施时，对前款所列纳税人、扣缴义务人、纳税担保人未缴纳的滞纳金同时强制执行。个人及其所扶养家属维持生活必需的住房和用品，不在强制执行措施的范围之内”之规定强制执行。</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 w:eastAsia="仿宋_GB2312"/>
          <w:color w:val="auto"/>
          <w:sz w:val="32"/>
        </w:rPr>
      </w:pPr>
      <w:r>
        <w:rPr>
          <w:rFonts w:hint="eastAsia" w:ascii="仿宋_GB2312" w:eastAsia="仿宋_GB2312"/>
          <w:color w:val="auto"/>
          <w:sz w:val="32"/>
        </w:rPr>
        <w:t>你单位若同我局在纳税上有争议，必须先依照本决定的期限缴纳税款及滞纳金或者提供相应的担保，然后可自上述款项缴清或者提供相应担保被税务机关确认之日起六十日内依法向</w:t>
      </w:r>
      <w:r>
        <w:rPr>
          <w:rFonts w:hint="eastAsia" w:ascii="仿宋_GB2312" w:hAnsi="仿宋" w:eastAsia="仿宋_GB2312"/>
          <w:color w:val="auto"/>
          <w:sz w:val="32"/>
          <w:szCs w:val="32"/>
          <w:lang w:val="en-US" w:eastAsia="zh-CN"/>
        </w:rPr>
        <w:t>国家税务总局乌海市税务局</w:t>
      </w:r>
      <w:r>
        <w:rPr>
          <w:rFonts w:hint="eastAsia" w:ascii="仿宋_GB2312" w:hAnsi="仿宋" w:eastAsia="仿宋_GB2312"/>
          <w:color w:val="auto"/>
          <w:sz w:val="32"/>
        </w:rPr>
        <w:t>申请行政复议。</w:t>
      </w:r>
    </w:p>
    <w:p>
      <w:pPr>
        <w:keepNext w:val="0"/>
        <w:keepLines w:val="0"/>
        <w:pageBreakBefore w:val="0"/>
        <w:widowControl w:val="0"/>
        <w:kinsoku/>
        <w:wordWrap w:val="0"/>
        <w:overflowPunct/>
        <w:topLinePunct w:val="0"/>
        <w:autoSpaceDE/>
        <w:autoSpaceDN/>
        <w:bidi w:val="0"/>
        <w:adjustRightInd/>
        <w:spacing w:line="560" w:lineRule="exact"/>
        <w:ind w:right="840" w:rightChars="400"/>
        <w:jc w:val="right"/>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val="0"/>
        <w:overflowPunct/>
        <w:topLinePunct w:val="0"/>
        <w:autoSpaceDE/>
        <w:autoSpaceDN/>
        <w:bidi w:val="0"/>
        <w:adjustRightInd/>
        <w:spacing w:line="560" w:lineRule="exact"/>
        <w:ind w:right="840" w:rightChars="400"/>
        <w:jc w:val="right"/>
        <w:textAlignment w:val="auto"/>
        <w:rPr>
          <w:rFonts w:hint="eastAsia" w:ascii="仿宋_GB2312" w:hAnsi="仿宋" w:eastAsia="仿宋_GB2312"/>
          <w:color w:val="auto"/>
          <w:sz w:val="32"/>
          <w:lang w:val="en-US" w:eastAsia="zh-CN"/>
        </w:rPr>
      </w:pPr>
    </w:p>
    <w:p>
      <w:pPr>
        <w:keepNext w:val="0"/>
        <w:keepLines w:val="0"/>
        <w:pageBreakBefore w:val="0"/>
        <w:widowControl w:val="0"/>
        <w:kinsoku/>
        <w:wordWrap w:val="0"/>
        <w:overflowPunct/>
        <w:topLinePunct w:val="0"/>
        <w:autoSpaceDE/>
        <w:autoSpaceDN/>
        <w:bidi w:val="0"/>
        <w:adjustRightInd/>
        <w:spacing w:line="560" w:lineRule="exact"/>
        <w:ind w:right="840" w:rightChars="400"/>
        <w:jc w:val="right"/>
        <w:textAlignment w:val="auto"/>
        <w:rPr>
          <w:rFonts w:hint="eastAsia" w:ascii="仿宋_GB2312" w:hAnsi="仿宋" w:eastAsia="仿宋_GB2312"/>
          <w:color w:val="auto"/>
          <w:sz w:val="32"/>
          <w:lang w:eastAsia="zh-CN"/>
        </w:rPr>
      </w:pPr>
      <w:r>
        <w:rPr>
          <w:rFonts w:hint="eastAsia" w:ascii="仿宋_GB2312" w:hAnsi="仿宋" w:eastAsia="仿宋_GB2312"/>
          <w:color w:val="auto"/>
          <w:sz w:val="32"/>
          <w:lang w:val="en-US" w:eastAsia="zh-CN"/>
        </w:rPr>
        <w:t>2026</w:t>
      </w:r>
      <w:r>
        <w:rPr>
          <w:rFonts w:hint="eastAsia" w:ascii="仿宋_GB2312" w:hAnsi="仿宋" w:eastAsia="仿宋_GB2312"/>
          <w:color w:val="auto"/>
          <w:sz w:val="32"/>
          <w:lang w:eastAsia="zh-CN"/>
        </w:rPr>
        <w:t>年</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lang w:eastAsia="zh-CN"/>
        </w:rPr>
        <w:t>月</w:t>
      </w:r>
      <w:r>
        <w:rPr>
          <w:rFonts w:hint="eastAsia" w:ascii="仿宋_GB2312" w:hAnsi="仿宋" w:eastAsia="仿宋_GB2312"/>
          <w:color w:val="auto"/>
          <w:sz w:val="32"/>
          <w:lang w:val="en-US" w:eastAsia="zh-CN"/>
        </w:rPr>
        <w:t>27</w:t>
      </w:r>
      <w:r>
        <w:rPr>
          <w:rFonts w:hint="eastAsia" w:ascii="仿宋_GB2312" w:hAnsi="仿宋" w:eastAsia="仿宋_GB2312"/>
          <w:color w:val="auto"/>
          <w:sz w:val="32"/>
          <w:lang w:eastAsia="zh-CN"/>
        </w:rPr>
        <w:t>日</w:t>
      </w:r>
    </w:p>
    <w:p>
      <w:pPr>
        <w:keepNext w:val="0"/>
        <w:keepLines w:val="0"/>
        <w:pageBreakBefore w:val="0"/>
        <w:widowControl w:val="0"/>
        <w:kinsoku/>
        <w:overflowPunct/>
        <w:topLinePunct w:val="0"/>
        <w:autoSpaceDE/>
        <w:autoSpaceDN/>
        <w:bidi w:val="0"/>
        <w:adjustRightInd/>
        <w:spacing w:line="560" w:lineRule="exact"/>
        <w:ind w:right="640"/>
        <w:textAlignment w:val="auto"/>
        <w:rPr>
          <w:rFonts w:ascii="仿宋" w:hAnsi="仿宋" w:eastAsia="仿宋"/>
          <w:color w:val="auto"/>
          <w:sz w:val="32"/>
        </w:rPr>
      </w:pPr>
    </w:p>
    <w:p>
      <w:pPr>
        <w:keepNext w:val="0"/>
        <w:keepLines w:val="0"/>
        <w:pageBreakBefore w:val="0"/>
        <w:widowControl w:val="0"/>
        <w:kinsoku/>
        <w:overflowPunct/>
        <w:topLinePunct w:val="0"/>
        <w:autoSpaceDE/>
        <w:autoSpaceDN/>
        <w:bidi w:val="0"/>
        <w:adjustRightInd/>
        <w:spacing w:line="560" w:lineRule="exact"/>
        <w:textAlignment w:val="auto"/>
        <w:rPr>
          <w:color w:val="auto"/>
        </w:rPr>
      </w:pP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2692D"/>
    <w:multiLevelType w:val="singleLevel"/>
    <w:tmpl w:val="4392692D"/>
    <w:lvl w:ilvl="0" w:tentative="0">
      <w:start w:val="1"/>
      <w:numFmt w:val="japaneseCounting"/>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380F"/>
    <w:rsid w:val="02435808"/>
    <w:rsid w:val="05235254"/>
    <w:rsid w:val="06094576"/>
    <w:rsid w:val="0D73299B"/>
    <w:rsid w:val="12B67B02"/>
    <w:rsid w:val="12FD579F"/>
    <w:rsid w:val="14F71187"/>
    <w:rsid w:val="175A31C6"/>
    <w:rsid w:val="193D7DAB"/>
    <w:rsid w:val="1A8D64BA"/>
    <w:rsid w:val="1B190F43"/>
    <w:rsid w:val="1B831CFC"/>
    <w:rsid w:val="1D03525D"/>
    <w:rsid w:val="236B712A"/>
    <w:rsid w:val="26753EEB"/>
    <w:rsid w:val="26EE48D4"/>
    <w:rsid w:val="289C55AE"/>
    <w:rsid w:val="292B3FC9"/>
    <w:rsid w:val="2C3D7FAC"/>
    <w:rsid w:val="2C854F60"/>
    <w:rsid w:val="2DF246DD"/>
    <w:rsid w:val="2E787014"/>
    <w:rsid w:val="2EB17481"/>
    <w:rsid w:val="2F772EA6"/>
    <w:rsid w:val="30B125B5"/>
    <w:rsid w:val="33D81DCD"/>
    <w:rsid w:val="352159C2"/>
    <w:rsid w:val="357035C9"/>
    <w:rsid w:val="37E42793"/>
    <w:rsid w:val="381F064E"/>
    <w:rsid w:val="3BC57BB3"/>
    <w:rsid w:val="3E171A14"/>
    <w:rsid w:val="3FE26777"/>
    <w:rsid w:val="40750C43"/>
    <w:rsid w:val="43B4581C"/>
    <w:rsid w:val="445E4B16"/>
    <w:rsid w:val="45355359"/>
    <w:rsid w:val="475D2514"/>
    <w:rsid w:val="481D642E"/>
    <w:rsid w:val="4B76596A"/>
    <w:rsid w:val="4BC23BB6"/>
    <w:rsid w:val="50555FF7"/>
    <w:rsid w:val="51711831"/>
    <w:rsid w:val="53DB19B5"/>
    <w:rsid w:val="55C142F9"/>
    <w:rsid w:val="57C97104"/>
    <w:rsid w:val="58117F07"/>
    <w:rsid w:val="585D61B3"/>
    <w:rsid w:val="59090892"/>
    <w:rsid w:val="59536A23"/>
    <w:rsid w:val="5B9436F4"/>
    <w:rsid w:val="5EB53B7D"/>
    <w:rsid w:val="5FFB0D03"/>
    <w:rsid w:val="6288052B"/>
    <w:rsid w:val="675C51EC"/>
    <w:rsid w:val="684E32D0"/>
    <w:rsid w:val="6A0B206A"/>
    <w:rsid w:val="6B5740DC"/>
    <w:rsid w:val="6CDD7F96"/>
    <w:rsid w:val="6F3065BF"/>
    <w:rsid w:val="720D53AB"/>
    <w:rsid w:val="738252D2"/>
    <w:rsid w:val="75D156E9"/>
    <w:rsid w:val="7F412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styleId="3">
    <w:name w:val="Plain Text"/>
    <w:basedOn w:val="1"/>
    <w:qFormat/>
    <w:uiPriority w:val="0"/>
    <w:rPr>
      <w:rFonts w:ascii="宋体" w:hAnsi="Courier New" w:eastAsia="宋体"/>
      <w:kern w:val="2"/>
      <w:sz w:val="21"/>
      <w:szCs w:val="21"/>
      <w:lang w:bidi="ar-SA"/>
    </w:rPr>
  </w:style>
  <w:style w:type="paragraph" w:styleId="4">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3102</Words>
  <Characters>3261</Characters>
  <Lines>0</Lines>
  <Paragraphs>0</Paragraphs>
  <TotalTime>60</TotalTime>
  <ScaleCrop>false</ScaleCrop>
  <LinksUpToDate>false</LinksUpToDate>
  <CharactersWithSpaces>3321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2024-05-08T08:40:00Z</dcterms:created>
  <dc:creator>询问室02</dc:creator>
  <cp:lastModifiedBy>李月姣</cp:lastModifiedBy>
  <cp:lastPrinted>2026-01-30T02:21:16Z</cp:lastPrinted>
  <dcterms:modified xsi:type="dcterms:W3CDTF">2026-01-30T02:50:43Z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eyJoZGlkIjoiNDdkZTVjZTQ4YTgxYjljNDUzYWEyZjQ4YmRlZTA4ZWMiLCJ1c2VySWQiOiIzMTE4NTY3ODEifQ==</vt:lpwstr>
  </property>
  <property fmtid="{D5CDD505-2E9C-101B-9397-08002B2CF9AE}" pid="4" name="ICV">
    <vt:lpwstr>195E9F0F7681471FAC34D49604AB68A1_13</vt:lpwstr>
  </property>
</Properties>
</file>