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sz w:val="48"/>
          <w:szCs w:val="48"/>
        </w:rPr>
      </w:pPr>
      <w:r>
        <w:rPr>
          <w:rFonts w:hint="eastAsia" w:ascii="仿宋_GB2312" w:hAnsi="仿宋_GB2312" w:eastAsia="仿宋_GB2312" w:cs="仿宋_GB2312"/>
        </w:rPr>
        <w:drawing>
          <wp:inline distT="0" distB="0" distL="0" distR="0">
            <wp:extent cx="2100580" cy="735965"/>
            <wp:effectExtent l="0" t="0" r="0" b="6985"/>
            <wp:docPr id="3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pic:cNvPicPr>
                      <a:picLocks noChangeAspect="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l="1966" t="11765"/>
                    <a:stretch>
                      <a:fillRect/>
                    </a:stretch>
                  </pic:blipFill>
                  <pic:spPr>
                    <a:xfrm>
                      <a:off x="0" y="0"/>
                      <a:ext cx="2103245" cy="736975"/>
                    </a:xfrm>
                    <a:custGeom>
                      <a:avLst/>
                      <a:gdLst>
                        <a:gd name="connsiteX0" fmla="*/ 0 w 9785985"/>
                        <a:gd name="connsiteY0" fmla="*/ 0 h 3429000"/>
                        <a:gd name="connsiteX1" fmla="*/ 9785985 w 9785985"/>
                        <a:gd name="connsiteY1" fmla="*/ 0 h 3429000"/>
                        <a:gd name="connsiteX2" fmla="*/ 9785985 w 9785985"/>
                        <a:gd name="connsiteY2" fmla="*/ 3429000 h 3429000"/>
                        <a:gd name="connsiteX3" fmla="*/ 0 w 9785985"/>
                        <a:gd name="connsiteY3" fmla="*/ 3429000 h 3429000"/>
                      </a:gdLst>
                      <a:ahLst/>
                      <a:cxnLst>
                        <a:cxn ang="0">
                          <a:pos x="connsiteX0" y="connsiteY0"/>
                        </a:cxn>
                        <a:cxn ang="0">
                          <a:pos x="connsiteX1" y="connsiteY1"/>
                        </a:cxn>
                        <a:cxn ang="0">
                          <a:pos x="connsiteX2" y="connsiteY2"/>
                        </a:cxn>
                        <a:cxn ang="0">
                          <a:pos x="connsiteX3" y="connsiteY3"/>
                        </a:cxn>
                      </a:cxnLst>
                      <a:rect l="l" t="t" r="r" b="b"/>
                      <a:pathLst>
                        <a:path w="9785985" h="3429000">
                          <a:moveTo>
                            <a:pt x="0" y="0"/>
                          </a:moveTo>
                          <a:lnTo>
                            <a:pt x="9785985" y="0"/>
                          </a:lnTo>
                          <a:lnTo>
                            <a:pt x="9785985" y="3429000"/>
                          </a:lnTo>
                          <a:lnTo>
                            <a:pt x="0" y="3429000"/>
                          </a:lnTo>
                          <a:close/>
                        </a:path>
                      </a:pathLst>
                    </a:custGeom>
                  </pic:spPr>
                </pic:pic>
              </a:graphicData>
            </a:graphic>
          </wp:inline>
        </w:drawing>
      </w:r>
    </w:p>
    <w:p>
      <w:pPr>
        <w:spacing w:line="900" w:lineRule="exact"/>
        <w:jc w:val="center"/>
        <w:rPr>
          <w:rFonts w:ascii="方正小标宋简体" w:hAnsi="方正小标宋简体" w:eastAsia="方正小标宋简体" w:cs="方正小标宋简体"/>
          <w:snapToGrid w:val="0"/>
          <w:color w:val="385723" w:themeColor="accent6" w:themeShade="80"/>
          <w:kern w:val="0"/>
          <w:sz w:val="72"/>
          <w:szCs w:val="72"/>
        </w:rPr>
      </w:pPr>
      <w:r>
        <w:rPr>
          <w:rFonts w:hint="eastAsia" w:ascii="方正小标宋简体" w:hAnsi="方正小标宋简体" w:eastAsia="方正小标宋简体" w:cs="方正小标宋简体"/>
          <w:snapToGrid w:val="0"/>
          <w:color w:val="385723" w:themeColor="accent6" w:themeShade="80"/>
          <w:kern w:val="0"/>
          <w:sz w:val="72"/>
          <w:szCs w:val="72"/>
        </w:rPr>
        <w:t>兴安盟征纳互动运营中心</w:t>
      </w:r>
    </w:p>
    <w:p>
      <w:pPr>
        <w:spacing w:line="900" w:lineRule="exact"/>
        <w:jc w:val="center"/>
        <w:rPr>
          <w:rFonts w:ascii="方正小标宋简体" w:hAnsi="方正小标宋简体" w:eastAsia="方正小标宋简体" w:cs="方正小标宋简体"/>
          <w:color w:val="385723" w:themeColor="accent6" w:themeShade="80"/>
          <w:sz w:val="72"/>
          <w:szCs w:val="72"/>
        </w:rPr>
      </w:pPr>
      <w:r>
        <w:rPr>
          <w:rFonts w:hint="eastAsia" w:ascii="方正小标宋简体" w:hAnsi="方正小标宋简体" w:eastAsia="方正小标宋简体" w:cs="方正小标宋简体"/>
          <w:snapToGrid w:val="0"/>
          <w:color w:val="385723" w:themeColor="accent6" w:themeShade="80"/>
          <w:kern w:val="0"/>
          <w:sz w:val="72"/>
          <w:szCs w:val="72"/>
        </w:rPr>
        <w:t>数据分析月报</w:t>
      </w:r>
    </w:p>
    <w:p>
      <w:pPr>
        <w:spacing w:line="560" w:lineRule="exact"/>
        <w:rPr>
          <w:rFonts w:ascii="仿宋_GB2312" w:hAnsi="仿宋_GB2312" w:eastAsia="仿宋_GB2312" w:cs="仿宋_GB2312"/>
          <w:color w:val="385723" w:themeColor="accent6" w:themeShade="80"/>
          <w:sz w:val="48"/>
          <w:szCs w:val="48"/>
        </w:rPr>
      </w:pPr>
    </w:p>
    <w:p>
      <w:pPr>
        <w:pStyle w:val="2"/>
        <w:ind w:left="0" w:leftChars="0"/>
        <w:rPr>
          <w:rFonts w:ascii="仿宋_GB2312" w:hAnsi="仿宋_GB2312" w:eastAsia="仿宋_GB2312" w:cs="仿宋_GB2312"/>
          <w:color w:val="385723" w:themeColor="accent6" w:themeShade="80"/>
        </w:rPr>
      </w:pPr>
    </w:p>
    <w:p>
      <w:pPr>
        <w:jc w:val="center"/>
        <w:rPr>
          <w:rFonts w:ascii="仿宋_GB2312" w:hAnsi="仿宋_GB2312" w:eastAsia="仿宋_GB2312" w:cs="仿宋_GB2312"/>
          <w:b/>
          <w:color w:val="385723" w:themeColor="accent6" w:themeShade="80"/>
          <w:sz w:val="36"/>
          <w:szCs w:val="36"/>
        </w:rPr>
      </w:pPr>
      <w:bookmarkStart w:id="17" w:name="_GoBack"/>
      <w:r>
        <w:rPr>
          <w:rFonts w:hint="eastAsia" w:ascii="仿宋_GB2312" w:hAnsi="仿宋_GB2312" w:eastAsia="仿宋_GB2312" w:cs="仿宋_GB2312"/>
          <w:b/>
          <w:color w:val="385723" w:themeColor="accent6" w:themeShade="80"/>
          <w:sz w:val="36"/>
          <w:szCs w:val="36"/>
        </w:rPr>
        <w:t>第1期</w:t>
      </w:r>
    </w:p>
    <w:bookmarkEnd w:id="17"/>
    <w:p>
      <w:pPr>
        <w:pStyle w:val="2"/>
        <w:ind w:left="0" w:leftChars="0"/>
        <w:rPr>
          <w:rFonts w:ascii="仿宋_GB2312" w:hAnsi="仿宋_GB2312" w:eastAsia="仿宋_GB2312" w:cs="仿宋_GB2312"/>
          <w:sz w:val="32"/>
          <w:szCs w:val="32"/>
        </w:rPr>
      </w:pPr>
    </w:p>
    <w:p>
      <w:pPr>
        <w:rPr>
          <w:rFonts w:ascii="仿宋_GB2312" w:hAnsi="仿宋_GB2312" w:eastAsia="仿宋_GB2312" w:cs="仿宋_GB2312"/>
        </w:rPr>
      </w:pPr>
    </w:p>
    <w:p>
      <w:pPr>
        <w:pStyle w:val="2"/>
        <w:ind w:left="0" w:leftChars="0"/>
        <w:rPr>
          <w:rFonts w:ascii="仿宋_GB2312" w:hAnsi="仿宋_GB2312" w:eastAsia="仿宋_GB2312" w:cs="仿宋_GB2312"/>
        </w:rPr>
      </w:pPr>
    </w:p>
    <w:p>
      <w:pPr>
        <w:rPr>
          <w:rFonts w:ascii="仿宋_GB2312" w:hAnsi="仿宋_GB2312" w:eastAsia="仿宋_GB2312" w:cs="仿宋_GB2312"/>
        </w:rPr>
      </w:pPr>
    </w:p>
    <w:p>
      <w:pPr>
        <w:pStyle w:val="2"/>
        <w:ind w:left="0" w:leftChars="0"/>
        <w:rPr>
          <w:rFonts w:ascii="仿宋_GB2312" w:hAnsi="仿宋_GB2312" w:eastAsia="仿宋_GB2312" w:cs="仿宋_GB2312"/>
        </w:rPr>
      </w:pPr>
    </w:p>
    <w:p>
      <w:pPr>
        <w:rPr>
          <w:rFonts w:ascii="仿宋_GB2312" w:hAnsi="仿宋_GB2312" w:eastAsia="仿宋_GB2312" w:cs="仿宋_GB2312"/>
        </w:rPr>
      </w:pPr>
    </w:p>
    <w:p>
      <w:pPr>
        <w:pStyle w:val="2"/>
        <w:ind w:left="0" w:leftChars="0"/>
        <w:rPr>
          <w:rFonts w:ascii="仿宋_GB2312" w:hAnsi="仿宋_GB2312" w:eastAsia="仿宋_GB2312" w:cs="仿宋_GB2312"/>
        </w:rPr>
      </w:pPr>
    </w:p>
    <w:p>
      <w:pPr>
        <w:pStyle w:val="2"/>
        <w:ind w:left="0" w:leftChars="0"/>
        <w:rPr>
          <w:rFonts w:ascii="仿宋_GB2312" w:hAnsi="仿宋_GB2312" w:eastAsia="仿宋_GB2312" w:cs="仿宋_GB2312"/>
        </w:rPr>
      </w:pPr>
    </w:p>
    <w:p>
      <w:pPr>
        <w:rPr>
          <w:rFonts w:ascii="仿宋_GB2312" w:hAnsi="仿宋_GB2312" w:eastAsia="仿宋_GB2312" w:cs="仿宋_GB2312"/>
        </w:rPr>
      </w:pPr>
    </w:p>
    <w:p>
      <w:pPr>
        <w:pStyle w:val="2"/>
        <w:rPr>
          <w:rFonts w:ascii="仿宋_GB2312" w:hAnsi="仿宋_GB2312" w:eastAsia="仿宋_GB2312" w:cs="仿宋_GB2312"/>
        </w:rPr>
      </w:pPr>
    </w:p>
    <w:p/>
    <w:p>
      <w:pPr>
        <w:rPr>
          <w:rFonts w:ascii="仿宋_GB2312" w:hAnsi="仿宋_GB2312" w:eastAsia="仿宋_GB2312" w:cs="仿宋_GB2312"/>
        </w:rPr>
      </w:pPr>
    </w:p>
    <w:p>
      <w:pPr>
        <w:jc w:val="center"/>
        <w:rPr>
          <w:rFonts w:hint="eastAsia" w:ascii="楷体_GB2312" w:hAnsi="仿宋_GB2312" w:eastAsia="楷体_GB2312" w:cs="仿宋_GB2312"/>
          <w:b/>
          <w:color w:val="385723" w:themeColor="accent6" w:themeShade="80"/>
          <w:sz w:val="36"/>
          <w:szCs w:val="36"/>
        </w:rPr>
      </w:pPr>
      <w:r>
        <w:rPr>
          <w:rFonts w:hint="eastAsia" w:ascii="楷体_GB2312" w:hAnsi="仿宋_GB2312" w:eastAsia="楷体_GB2312" w:cs="仿宋_GB2312"/>
          <w:b/>
          <w:color w:val="385723" w:themeColor="accent6" w:themeShade="80"/>
          <w:sz w:val="36"/>
          <w:szCs w:val="36"/>
        </w:rPr>
        <w:t>2025年7月</w:t>
      </w:r>
    </w:p>
    <w:p>
      <w:pPr>
        <w:pStyle w:val="2"/>
        <w:ind w:left="0" w:leftChars="0"/>
        <w:rPr>
          <w:rFonts w:ascii="仿宋_GB2312" w:hAnsi="仿宋_GB2312" w:eastAsia="仿宋_GB2312" w:cs="仿宋_GB2312"/>
        </w:rPr>
      </w:pPr>
    </w:p>
    <w:p>
      <w:pPr>
        <w:rPr>
          <w:rFonts w:ascii="仿宋_GB2312" w:hAnsi="仿宋_GB2312" w:eastAsia="仿宋_GB2312" w:cs="仿宋_GB2312"/>
        </w:rPr>
      </w:pPr>
    </w:p>
    <w:p>
      <w:pPr>
        <w:pStyle w:val="2"/>
        <w:ind w:left="0" w:leftChars="0"/>
        <w:rPr>
          <w:rFonts w:ascii="仿宋_GB2312" w:hAnsi="仿宋_GB2312" w:eastAsia="仿宋_GB2312" w:cs="仿宋_GB231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48"/>
          <w:szCs w:val="48"/>
        </w:rPr>
        <w:drawing>
          <wp:inline distT="0" distB="0" distL="0" distR="0">
            <wp:extent cx="5638800" cy="18034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39829" cy="1803729"/>
                    </a:xfrm>
                    <a:prstGeom prst="rect">
                      <a:avLst/>
                    </a:prstGeom>
                    <a:noFill/>
                    <a:ln>
                      <a:noFill/>
                    </a:ln>
                  </pic:spPr>
                </pic:pic>
              </a:graphicData>
            </a:graphic>
          </wp:inline>
        </w:drawing>
      </w:r>
    </w:p>
    <w:p>
      <w:pPr>
        <w:rPr>
          <w:rFonts w:ascii="仿宋_GB2312" w:hAnsi="仿宋_GB2312" w:eastAsia="仿宋_GB2312" w:cs="仿宋_GB2312"/>
        </w:rPr>
      </w:pPr>
    </w:p>
    <w:p>
      <w:r>
        <w:rPr>
          <w:rFonts w:hint="eastAsia" w:ascii="仿宋_GB2312" w:hAnsi="仿宋_GB2312" w:eastAsia="仿宋_GB2312" w:cs="仿宋_GB2312"/>
        </w:rPr>
        <w:drawing>
          <wp:inline distT="0" distB="0" distL="0" distR="0">
            <wp:extent cx="2100580" cy="735965"/>
            <wp:effectExtent l="0" t="0" r="13970" b="6985"/>
            <wp:docPr id="2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1"/>
                    <pic:cNvPicPr>
                      <a:picLocks noChangeAspect="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l="1966" t="11765"/>
                    <a:stretch>
                      <a:fillRect/>
                    </a:stretch>
                  </pic:blipFill>
                  <pic:spPr>
                    <a:xfrm>
                      <a:off x="0" y="0"/>
                      <a:ext cx="2103245" cy="736975"/>
                    </a:xfrm>
                    <a:custGeom>
                      <a:avLst/>
                      <a:gdLst>
                        <a:gd name="connsiteX0" fmla="*/ 0 w 9785985"/>
                        <a:gd name="connsiteY0" fmla="*/ 0 h 3429000"/>
                        <a:gd name="connsiteX1" fmla="*/ 9785985 w 9785985"/>
                        <a:gd name="connsiteY1" fmla="*/ 0 h 3429000"/>
                        <a:gd name="connsiteX2" fmla="*/ 9785985 w 9785985"/>
                        <a:gd name="connsiteY2" fmla="*/ 3429000 h 3429000"/>
                        <a:gd name="connsiteX3" fmla="*/ 0 w 9785985"/>
                        <a:gd name="connsiteY3" fmla="*/ 3429000 h 3429000"/>
                      </a:gdLst>
                      <a:ahLst/>
                      <a:cxnLst>
                        <a:cxn ang="0">
                          <a:pos x="connsiteX0" y="connsiteY0"/>
                        </a:cxn>
                        <a:cxn ang="0">
                          <a:pos x="connsiteX1" y="connsiteY1"/>
                        </a:cxn>
                        <a:cxn ang="0">
                          <a:pos x="connsiteX2" y="connsiteY2"/>
                        </a:cxn>
                        <a:cxn ang="0">
                          <a:pos x="connsiteX3" y="connsiteY3"/>
                        </a:cxn>
                      </a:cxnLst>
                      <a:rect l="l" t="t" r="r" b="b"/>
                      <a:pathLst>
                        <a:path w="9785985" h="3429000">
                          <a:moveTo>
                            <a:pt x="0" y="0"/>
                          </a:moveTo>
                          <a:lnTo>
                            <a:pt x="9785985" y="0"/>
                          </a:lnTo>
                          <a:lnTo>
                            <a:pt x="9785985" y="3429000"/>
                          </a:lnTo>
                          <a:lnTo>
                            <a:pt x="0" y="3429000"/>
                          </a:lnTo>
                          <a:close/>
                        </a:path>
                      </a:pathLst>
                    </a:custGeom>
                  </pic:spPr>
                </pic:pic>
              </a:graphicData>
            </a:graphic>
          </wp:inline>
        </w:drawing>
      </w:r>
    </w:p>
    <w:sdt>
      <w:sdtPr>
        <w:rPr>
          <w:rFonts w:hint="eastAsia" w:ascii="仿宋_GB2312" w:hAnsi="仿宋_GB2312" w:eastAsia="仿宋_GB2312" w:cs="仿宋_GB2312"/>
        </w:rPr>
        <w:id w:val="147475336"/>
        <w:docPartObj>
          <w:docPartGallery w:val="Table of Contents"/>
          <w:docPartUnique/>
        </w:docPartObj>
      </w:sdtPr>
      <w:sdtEndPr>
        <w:rPr>
          <w:rFonts w:hint="eastAsia" w:ascii="仿宋_GB2312" w:hAnsi="仿宋_GB2312" w:eastAsia="仿宋_GB2312" w:cs="仿宋_GB2312"/>
          <w:b/>
          <w:szCs w:val="32"/>
        </w:rPr>
      </w:sdtEndPr>
      <w:sdtContent>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目录</w:t>
          </w:r>
        </w:p>
        <w:p>
          <w:pPr>
            <w:pStyle w:val="28"/>
            <w:tabs>
              <w:tab w:val="right" w:leader="dot" w:pos="8844"/>
            </w:tabs>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r>
            <w:fldChar w:fldCharType="begin"/>
          </w:r>
          <w:r>
            <w:instrText xml:space="preserve"> HYPERLINK \l "_Toc14143" </w:instrText>
          </w:r>
          <w:r>
            <w:fldChar w:fldCharType="separate"/>
          </w:r>
          <w:r>
            <w:rPr>
              <w:rFonts w:hint="eastAsia" w:ascii="仿宋_GB2312" w:hAnsi="仿宋_GB2312" w:eastAsia="仿宋_GB2312" w:cs="仿宋_GB2312"/>
              <w:sz w:val="32"/>
              <w:szCs w:val="32"/>
            </w:rPr>
            <w:t>一、征纳互动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_Toc14143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8"/>
            <w:tabs>
              <w:tab w:val="right" w:leader="dot" w:pos="8844"/>
            </w:tabs>
            <w:ind w:firstLine="400" w:firstLineChars="200"/>
            <w:rPr>
              <w:rFonts w:ascii="仿宋_GB2312" w:hAnsi="仿宋_GB2312" w:eastAsia="仿宋_GB2312" w:cs="仿宋_GB2312"/>
              <w:sz w:val="32"/>
              <w:szCs w:val="32"/>
            </w:rPr>
          </w:pPr>
          <w:r>
            <w:fldChar w:fldCharType="begin"/>
          </w:r>
          <w:r>
            <w:instrText xml:space="preserve"> HYPERLINK \l "_Toc10068" </w:instrText>
          </w:r>
          <w:r>
            <w:fldChar w:fldCharType="separate"/>
          </w:r>
          <w:r>
            <w:rPr>
              <w:rFonts w:hint="eastAsia" w:ascii="仿宋_GB2312" w:hAnsi="仿宋_GB2312" w:eastAsia="仿宋_GB2312" w:cs="仿宋_GB2312"/>
              <w:sz w:val="32"/>
              <w:szCs w:val="32"/>
            </w:rPr>
            <w:t>（一）总体服务情况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_Toc10068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9"/>
            <w:tabs>
              <w:tab w:val="right" w:leader="dot" w:pos="8844"/>
            </w:tabs>
            <w:ind w:left="0" w:leftChars="0" w:firstLine="400" w:firstLineChars="200"/>
            <w:rPr>
              <w:rFonts w:ascii="仿宋_GB2312" w:hAnsi="仿宋_GB2312" w:eastAsia="仿宋_GB2312" w:cs="仿宋_GB2312"/>
              <w:sz w:val="32"/>
              <w:szCs w:val="32"/>
            </w:rPr>
          </w:pPr>
          <w:r>
            <w:fldChar w:fldCharType="begin"/>
          </w:r>
          <w:r>
            <w:instrText xml:space="preserve"> HYPERLINK \l "_Toc6409" </w:instrText>
          </w:r>
          <w:r>
            <w:fldChar w:fldCharType="separate"/>
          </w:r>
          <w:r>
            <w:rPr>
              <w:rFonts w:hint="eastAsia" w:ascii="仿宋_GB2312" w:hAnsi="仿宋_GB2312" w:eastAsia="仿宋_GB2312" w:cs="仿宋_GB2312"/>
              <w:sz w:val="32"/>
              <w:szCs w:val="32"/>
            </w:rPr>
            <w:t>（二）热点问题分析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_Toc6409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9"/>
            <w:tabs>
              <w:tab w:val="right" w:leader="dot" w:pos="8844"/>
            </w:tabs>
            <w:ind w:left="0" w:leftChars="0" w:firstLine="400" w:firstLineChars="200"/>
            <w:rPr>
              <w:rFonts w:ascii="仿宋_GB2312" w:hAnsi="仿宋_GB2312" w:eastAsia="仿宋_GB2312" w:cs="仿宋_GB2312"/>
              <w:sz w:val="32"/>
              <w:szCs w:val="32"/>
            </w:rPr>
          </w:pPr>
          <w:r>
            <w:fldChar w:fldCharType="begin"/>
          </w:r>
          <w:r>
            <w:instrText xml:space="preserve"> HYPERLINK \l "_Toc19325" </w:instrText>
          </w:r>
          <w:r>
            <w:fldChar w:fldCharType="separate"/>
          </w:r>
          <w:r>
            <w:rPr>
              <w:rFonts w:hint="eastAsia" w:ascii="仿宋_GB2312" w:hAnsi="仿宋_GB2312" w:eastAsia="仿宋_GB2312" w:cs="仿宋_GB2312"/>
              <w:sz w:val="32"/>
              <w:szCs w:val="32"/>
            </w:rPr>
            <w:t>（三）征纳互动服务水平分析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8"/>
            <w:tabs>
              <w:tab w:val="right" w:leader="dot" w:pos="8844"/>
            </w:tabs>
            <w:rPr>
              <w:rFonts w:ascii="仿宋_GB2312" w:hAnsi="仿宋_GB2312" w:eastAsia="仿宋_GB2312" w:cs="仿宋_GB2312"/>
              <w:sz w:val="32"/>
              <w:szCs w:val="32"/>
            </w:rPr>
          </w:pPr>
          <w:r>
            <w:fldChar w:fldCharType="begin"/>
          </w:r>
          <w:r>
            <w:instrText xml:space="preserve"> HYPERLINK \l "_Toc29977" </w:instrText>
          </w:r>
          <w:r>
            <w:fldChar w:fldCharType="separate"/>
          </w:r>
          <w:r>
            <w:rPr>
              <w:rFonts w:hint="eastAsia" w:ascii="仿宋_GB2312" w:hAnsi="仿宋_GB2312" w:eastAsia="仿宋_GB2312" w:cs="仿宋_GB2312"/>
              <w:sz w:val="32"/>
              <w:szCs w:val="32"/>
            </w:rPr>
            <w:t>二、税费协同热线</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_Toc29977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9"/>
            <w:tabs>
              <w:tab w:val="right" w:leader="dot" w:pos="8844"/>
            </w:tabs>
            <w:ind w:left="0" w:leftChars="0" w:firstLine="400" w:firstLineChars="200"/>
            <w:rPr>
              <w:rFonts w:ascii="仿宋_GB2312" w:hAnsi="仿宋_GB2312" w:eastAsia="仿宋_GB2312" w:cs="仿宋_GB2312"/>
              <w:sz w:val="32"/>
              <w:szCs w:val="32"/>
            </w:rPr>
          </w:pPr>
          <w:r>
            <w:fldChar w:fldCharType="begin"/>
          </w:r>
          <w:r>
            <w:instrText xml:space="preserve"> HYPERLINK \l "_Toc28233" </w:instrText>
          </w:r>
          <w:r>
            <w:fldChar w:fldCharType="separate"/>
          </w:r>
          <w:r>
            <w:rPr>
              <w:rFonts w:hint="eastAsia" w:ascii="仿宋_GB2312" w:hAnsi="仿宋_GB2312" w:eastAsia="仿宋_GB2312" w:cs="仿宋_GB2312"/>
              <w:sz w:val="32"/>
              <w:szCs w:val="32"/>
            </w:rPr>
            <w:t>（一）</w:t>
          </w:r>
          <w:r>
            <w:rPr>
              <w:rFonts w:hint="eastAsia" w:ascii="仿宋_GB2312" w:hAnsi="仿宋_GB2312" w:eastAsia="仿宋_GB2312" w:cs="仿宋_GB2312"/>
              <w:kern w:val="44"/>
              <w:sz w:val="32"/>
              <w:szCs w:val="32"/>
            </w:rPr>
            <w:t>总体服务情况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_Toc28233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9"/>
            <w:tabs>
              <w:tab w:val="right" w:leader="dot" w:pos="8844"/>
            </w:tabs>
            <w:ind w:left="0" w:leftChars="0" w:firstLine="400" w:firstLineChars="200"/>
            <w:rPr>
              <w:rFonts w:ascii="仿宋_GB2312" w:hAnsi="仿宋_GB2312" w:eastAsia="仿宋_GB2312" w:cs="仿宋_GB2312"/>
              <w:sz w:val="32"/>
              <w:szCs w:val="32"/>
            </w:rPr>
          </w:pPr>
          <w:r>
            <w:fldChar w:fldCharType="begin"/>
          </w:r>
          <w:r>
            <w:instrText xml:space="preserve"> HYPERLINK \l "_Toc13789" </w:instrText>
          </w:r>
          <w:r>
            <w:fldChar w:fldCharType="separate"/>
          </w:r>
          <w:r>
            <w:rPr>
              <w:rFonts w:hint="eastAsia" w:ascii="仿宋_GB2312" w:hAnsi="仿宋_GB2312" w:eastAsia="仿宋_GB2312" w:cs="仿宋_GB2312"/>
              <w:sz w:val="32"/>
              <w:szCs w:val="32"/>
            </w:rPr>
            <w:t>（二）咨询电话分析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_Toc13789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8"/>
            <w:tabs>
              <w:tab w:val="right" w:leader="dot" w:pos="8844"/>
            </w:tabs>
            <w:ind w:firstLine="400" w:firstLineChars="200"/>
            <w:rPr>
              <w:rFonts w:ascii="仿宋_GB2312" w:hAnsi="仿宋_GB2312" w:eastAsia="仿宋_GB2312" w:cs="仿宋_GB2312"/>
              <w:sz w:val="32"/>
              <w:szCs w:val="32"/>
            </w:rPr>
          </w:pPr>
          <w:r>
            <w:fldChar w:fldCharType="begin"/>
          </w:r>
          <w:r>
            <w:instrText xml:space="preserve"> HYPERLINK \l "_Toc17953" </w:instrText>
          </w:r>
          <w:r>
            <w:fldChar w:fldCharType="separate"/>
          </w:r>
          <w:r>
            <w:rPr>
              <w:rFonts w:hint="eastAsia" w:ascii="仿宋_GB2312" w:hAnsi="仿宋_GB2312" w:eastAsia="仿宋_GB2312" w:cs="仿宋_GB2312"/>
              <w:kern w:val="2"/>
              <w:sz w:val="32"/>
              <w:szCs w:val="32"/>
            </w:rPr>
            <w:t>（三）涉税投诉举报情况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_Toc17953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8"/>
            <w:tabs>
              <w:tab w:val="right" w:leader="dot" w:pos="8844"/>
            </w:tabs>
            <w:rPr>
              <w:rFonts w:ascii="仿宋_GB2312" w:hAnsi="仿宋_GB2312" w:eastAsia="仿宋_GB2312" w:cs="仿宋_GB2312"/>
              <w:sz w:val="32"/>
              <w:szCs w:val="32"/>
            </w:rPr>
          </w:pPr>
          <w:r>
            <w:fldChar w:fldCharType="begin"/>
          </w:r>
          <w:r>
            <w:instrText xml:space="preserve"> HYPERLINK \l "_Toc26166" </w:instrText>
          </w:r>
          <w:r>
            <w:fldChar w:fldCharType="separate"/>
          </w:r>
          <w:r>
            <w:rPr>
              <w:rFonts w:hint="eastAsia" w:ascii="仿宋_GB2312" w:hAnsi="仿宋_GB2312" w:eastAsia="仿宋_GB2312" w:cs="仿宋_GB2312"/>
              <w:sz w:val="32"/>
              <w:szCs w:val="32"/>
            </w:rPr>
            <w:t>三、热点问题分析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_Toc26166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8"/>
            <w:tabs>
              <w:tab w:val="right" w:leader="dot" w:pos="8844"/>
            </w:tabs>
            <w:rPr>
              <w:rFonts w:ascii="仿宋_GB2312" w:hAnsi="仿宋_GB2312" w:eastAsia="仿宋_GB2312" w:cs="仿宋_GB2312"/>
              <w:sz w:val="32"/>
              <w:szCs w:val="32"/>
            </w:rPr>
          </w:pPr>
          <w:r>
            <w:fldChar w:fldCharType="begin"/>
          </w:r>
          <w:r>
            <w:instrText xml:space="preserve"> HYPERLINK \l "_Toc1597" </w:instrText>
          </w:r>
          <w:r>
            <w:fldChar w:fldCharType="separate"/>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p>
      </w:sdtContent>
    </w:sdt>
    <w:p>
      <w:pPr>
        <w:pStyle w:val="2"/>
        <w:ind w:left="0" w:leftChars="0"/>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ind w:left="0" w:leftChars="0"/>
        <w:rPr>
          <w:rFonts w:ascii="仿宋_GB2312" w:hAnsi="仿宋_GB2312" w:eastAsia="仿宋_GB2312" w:cs="仿宋_GB2312"/>
          <w:sz w:val="32"/>
          <w:szCs w:val="32"/>
        </w:rPr>
      </w:pPr>
      <w:r>
        <mc:AlternateContent>
          <mc:Choice Requires="wps">
            <w:drawing>
              <wp:anchor distT="0" distB="0" distL="114300" distR="114300" simplePos="0" relativeHeight="251661312" behindDoc="0" locked="0" layoutInCell="1" allowOverlap="1">
                <wp:simplePos x="0" y="0"/>
                <wp:positionH relativeFrom="column">
                  <wp:posOffset>3981450</wp:posOffset>
                </wp:positionH>
                <wp:positionV relativeFrom="paragraph">
                  <wp:posOffset>288290</wp:posOffset>
                </wp:positionV>
                <wp:extent cx="1948180" cy="2950845"/>
                <wp:effectExtent l="0" t="0" r="13970" b="1905"/>
                <wp:wrapSquare wrapText="bothSides"/>
                <wp:docPr id="30" name="文本框 30"/>
                <wp:cNvGraphicFramePr/>
                <a:graphic xmlns:a="http://schemas.openxmlformats.org/drawingml/2006/main">
                  <a:graphicData uri="http://schemas.microsoft.com/office/word/2010/wordprocessingShape">
                    <wps:wsp>
                      <wps:cNvSpPr txBox="1"/>
                      <wps:spPr>
                        <a:xfrm>
                          <a:off x="0" y="0"/>
                          <a:ext cx="1948180" cy="29508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360" w:lineRule="auto"/>
                              <w:ind w:left="0" w:left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编辑：孙秋阳</w:t>
                            </w:r>
                          </w:p>
                          <w:p>
                            <w:pPr>
                              <w:spacing w:line="360" w:lineRule="auto"/>
                              <w:ind w:firstLine="720" w:firstLineChars="3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邰娜娜 </w:t>
                            </w:r>
                          </w:p>
                          <w:p>
                            <w:pPr>
                              <w:pStyle w:val="2"/>
                              <w:spacing w:line="360" w:lineRule="auto"/>
                              <w:ind w:left="0" w:left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初审：陈晓光</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复审：宁凯丰</w:t>
                            </w:r>
                          </w:p>
                          <w:p>
                            <w:pPr>
                              <w:pStyle w:val="2"/>
                              <w:ind w:left="0" w:leftChars="0" w:firstLine="720" w:firstLineChars="300"/>
                            </w:pPr>
                            <w:r>
                              <w:rPr>
                                <w:rFonts w:hint="eastAsia" w:ascii="仿宋_GB2312" w:hAnsi="仿宋_GB2312" w:eastAsia="仿宋_GB2312" w:cs="仿宋_GB2312"/>
                                <w:sz w:val="24"/>
                                <w:szCs w:val="24"/>
                              </w:rPr>
                              <w:t>张艳东</w:t>
                            </w:r>
                          </w:p>
                          <w:p>
                            <w:pPr>
                              <w:pStyle w:val="2"/>
                              <w:spacing w:line="360" w:lineRule="auto"/>
                              <w:ind w:left="1200" w:leftChars="0" w:hanging="1200" w:hangingChars="500"/>
                              <w:rPr>
                                <w:rFonts w:ascii="仿宋_GB2312" w:hAnsi="仿宋_GB2312" w:eastAsia="仿宋_GB2312" w:cs="仿宋_GB2312"/>
                                <w:sz w:val="24"/>
                                <w:szCs w:val="24"/>
                              </w:rPr>
                            </w:pPr>
                            <w:r>
                              <w:rPr>
                                <w:rFonts w:hint="eastAsia" w:ascii="仿宋_GB2312" w:hAnsi="仿宋_GB2312" w:eastAsia="仿宋_GB2312" w:cs="仿宋_GB2312"/>
                                <w:sz w:val="24"/>
                                <w:szCs w:val="24"/>
                              </w:rPr>
                              <w:t>编辑单位：兴安盟征纳互动服务运营中心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5pt;margin-top:22.7pt;height:232.35pt;width:153.4pt;mso-wrap-distance-bottom:0pt;mso-wrap-distance-left:9pt;mso-wrap-distance-right:9pt;mso-wrap-distance-top:0pt;z-index:251661312;mso-width-relative:page;mso-height-relative:page;" fillcolor="#FFFFFF [3201]" filled="t" stroked="f" coordsize="21600,21600" o:gfxdata="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a0hatcAAAAKAQAADwAA&#10;AAAAAAABACAAAAAiAAAAZHJzL2Rvd25yZXYueG1sUEsBAhQAFAAAAAgAh07iQLLy+jdQAgAAkgQA&#10;AA4AAAAAAAAAAQAgAAAAJgEAAGRycy9lMm9Eb2MueG1sUEsFBgAAAAAGAAYAWQEAAOgFAAAAAA==&#10;">
                <v:fill on="t" focussize="0,0"/>
                <v:stroke on="f" weight="0.5pt"/>
                <v:imagedata o:title=""/>
                <o:lock v:ext="edit" aspectratio="f"/>
                <v:textbox>
                  <w:txbxContent>
                    <w:p>
                      <w:pPr>
                        <w:pStyle w:val="2"/>
                        <w:spacing w:line="360" w:lineRule="auto"/>
                        <w:ind w:left="0" w:left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编辑：孙秋阳</w:t>
                      </w:r>
                    </w:p>
                    <w:p>
                      <w:pPr>
                        <w:spacing w:line="360" w:lineRule="auto"/>
                        <w:ind w:firstLine="720" w:firstLineChars="3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邰娜娜 </w:t>
                      </w:r>
                    </w:p>
                    <w:p>
                      <w:pPr>
                        <w:pStyle w:val="2"/>
                        <w:spacing w:line="360" w:lineRule="auto"/>
                        <w:ind w:left="0" w:left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初审：陈晓光</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复审：宁凯丰</w:t>
                      </w:r>
                    </w:p>
                    <w:p>
                      <w:pPr>
                        <w:pStyle w:val="2"/>
                        <w:ind w:left="0" w:leftChars="0" w:firstLine="720" w:firstLineChars="300"/>
                      </w:pPr>
                      <w:r>
                        <w:rPr>
                          <w:rFonts w:hint="eastAsia" w:ascii="仿宋_GB2312" w:hAnsi="仿宋_GB2312" w:eastAsia="仿宋_GB2312" w:cs="仿宋_GB2312"/>
                          <w:sz w:val="24"/>
                          <w:szCs w:val="24"/>
                        </w:rPr>
                        <w:t>张艳东</w:t>
                      </w:r>
                    </w:p>
                    <w:p>
                      <w:pPr>
                        <w:pStyle w:val="2"/>
                        <w:spacing w:line="360" w:lineRule="auto"/>
                        <w:ind w:left="1200" w:leftChars="0" w:hanging="1200" w:hangingChars="500"/>
                        <w:rPr>
                          <w:rFonts w:ascii="仿宋_GB2312" w:hAnsi="仿宋_GB2312" w:eastAsia="仿宋_GB2312" w:cs="仿宋_GB2312"/>
                          <w:sz w:val="24"/>
                          <w:szCs w:val="24"/>
                        </w:rPr>
                      </w:pPr>
                      <w:r>
                        <w:rPr>
                          <w:rFonts w:hint="eastAsia" w:ascii="仿宋_GB2312" w:hAnsi="仿宋_GB2312" w:eastAsia="仿宋_GB2312" w:cs="仿宋_GB2312"/>
                          <w:sz w:val="24"/>
                          <w:szCs w:val="24"/>
                        </w:rPr>
                        <w:t>编辑单位：兴安盟征纳互动服务运营中心</w:t>
                      </w:r>
                    </w:p>
                  </w:txbxContent>
                </v:textbox>
                <w10:wrap type="square"/>
              </v:shape>
            </w:pict>
          </mc:Fallback>
        </mc:AlternateConten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kern w:val="0"/>
          <w:sz w:val="32"/>
          <w:szCs w:val="32"/>
        </w:rPr>
        <w:sectPr>
          <w:footerReference r:id="rId5" w:type="first"/>
          <w:footerReference r:id="rId3" w:type="default"/>
          <w:footerReference r:id="rId4" w:type="even"/>
          <w:pgSz w:w="11906" w:h="16838"/>
          <w:pgMar w:top="1701" w:right="1474" w:bottom="1304" w:left="1588" w:header="851" w:footer="850" w:gutter="0"/>
          <w:pgNumType w:fmt="numberInDash" w:start="1"/>
          <w:cols w:space="425" w:num="1"/>
          <w:docGrid w:type="lines" w:linePitch="312" w:charSpace="0"/>
        </w:sectPr>
      </w:pP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kern w:val="0"/>
          <w:sz w:val="32"/>
          <w:szCs w:val="32"/>
        </w:rPr>
        <w:t>数据分析月报统计征纳互动平台和税费协同热线，统计分析纳税人缴费人税费诉求和热点问题，为税费服务、诉求研判和征管决策提供数据基础，为实施“强基工程”提升税费征管服务效能提供坚实数据支撑。</w:t>
      </w:r>
    </w:p>
    <w:p>
      <w:pPr>
        <w:pStyle w:val="3"/>
        <w:spacing w:before="0" w:after="0" w:line="560" w:lineRule="exact"/>
        <w:rPr>
          <w:rFonts w:ascii="黑体" w:hAnsi="黑体" w:eastAsia="黑体" w:cs="黑体"/>
          <w:b w:val="0"/>
          <w:sz w:val="32"/>
          <w:szCs w:val="32"/>
        </w:rPr>
      </w:pPr>
      <w:bookmarkStart w:id="0" w:name="_Toc14143"/>
      <w:r>
        <w:rPr>
          <w:rFonts w:hint="eastAsia" w:ascii="黑体" w:hAnsi="黑体" w:eastAsia="黑体" w:cs="黑体"/>
          <w:b w:val="0"/>
          <w:sz w:val="32"/>
          <w:szCs w:val="32"/>
        </w:rPr>
        <w:t>一、征纳互动</w:t>
      </w:r>
      <w:bookmarkEnd w:id="0"/>
    </w:p>
    <w:p>
      <w:pPr>
        <w:pStyle w:val="3"/>
        <w:spacing w:before="0" w:after="0" w:line="560" w:lineRule="exact"/>
        <w:ind w:firstLine="640" w:firstLineChars="200"/>
        <w:rPr>
          <w:rFonts w:ascii="楷体_GB2312" w:hAnsi="楷体_GB2312" w:eastAsia="楷体_GB2312" w:cs="楷体_GB2312"/>
          <w:b w:val="0"/>
          <w:sz w:val="32"/>
          <w:szCs w:val="32"/>
        </w:rPr>
      </w:pPr>
      <w:bookmarkStart w:id="1" w:name="_Toc10068"/>
      <w:r>
        <w:rPr>
          <w:rFonts w:hint="eastAsia" w:ascii="楷体_GB2312" w:hAnsi="楷体_GB2312" w:eastAsia="楷体_GB2312" w:cs="楷体_GB2312"/>
          <w:b w:val="0"/>
          <w:sz w:val="32"/>
          <w:szCs w:val="32"/>
        </w:rPr>
        <w:t>（一）总体服务情况</w:t>
      </w:r>
      <w:bookmarkEnd w:id="1"/>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2025年5-6月，兴安盟征纳互动服务运营中心互动</w:t>
      </w:r>
      <w:r>
        <w:rPr>
          <w:rFonts w:hint="eastAsia" w:ascii="仿宋_GB2312" w:hAnsi="仿宋_GB2312" w:eastAsia="仿宋_GB2312" w:cs="仿宋_GB2312"/>
          <w:bCs/>
          <w:sz w:val="32"/>
          <w:szCs w:val="32"/>
        </w:rPr>
        <w:t>总量为4529人</w:t>
      </w:r>
      <w:r>
        <w:rPr>
          <w:rFonts w:hint="eastAsia" w:ascii="仿宋_GB2312" w:hAnsi="仿宋_GB2312" w:eastAsia="仿宋_GB2312" w:cs="仿宋_GB2312"/>
          <w:sz w:val="32"/>
          <w:szCs w:val="32"/>
        </w:rPr>
        <w:t>次，其中智能互动为3694次，征纳互动为739次，征征互动为31次，跨省互动为56次，纳税人留言6条，预约互动3人次，</w:t>
      </w:r>
      <w:r>
        <w:rPr>
          <w:rFonts w:hint="eastAsia" w:ascii="仿宋_GB2312" w:hAnsi="仿宋_GB2312" w:eastAsia="仿宋_GB2312" w:cs="仿宋_GB2312"/>
          <w:bCs/>
          <w:sz w:val="32"/>
          <w:szCs w:val="32"/>
        </w:rPr>
        <w:t>通过对数据进行归集匹配，形成咨询类有效问题数据库</w:t>
      </w:r>
      <w:r>
        <w:rPr>
          <w:rFonts w:hint="eastAsia" w:ascii="仿宋_GB2312" w:hAnsi="仿宋_GB2312" w:eastAsia="仿宋_GB2312" w:cs="仿宋_GB2312"/>
          <w:sz w:val="32"/>
          <w:szCs w:val="32"/>
        </w:rPr>
        <w:t>。</w:t>
      </w:r>
    </w:p>
    <w:p>
      <w:pPr>
        <w:pStyle w:val="3"/>
        <w:spacing w:before="0" w:after="0" w:line="560" w:lineRule="exact"/>
        <w:ind w:firstLine="640" w:firstLineChars="200"/>
        <w:rPr>
          <w:rFonts w:ascii="楷体_GB2312" w:hAnsi="楷体_GB2312" w:eastAsia="楷体_GB2312" w:cs="楷体_GB2312"/>
          <w:b w:val="0"/>
          <w:sz w:val="32"/>
          <w:szCs w:val="32"/>
        </w:rPr>
      </w:pPr>
      <w:bookmarkStart w:id="2" w:name="_Toc6409"/>
      <w:r>
        <w:rPr>
          <w:rFonts w:hint="eastAsia" w:ascii="楷体_GB2312" w:hAnsi="楷体_GB2312" w:eastAsia="楷体_GB2312" w:cs="楷体_GB2312"/>
          <w:b w:val="0"/>
          <w:sz w:val="32"/>
          <w:szCs w:val="32"/>
        </w:rPr>
        <w:t>（二）热点问题分析</w:t>
      </w:r>
      <w:bookmarkEnd w:id="2"/>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7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064" w:type="dxa"/>
            <w:shd w:val="clear" w:color="auto" w:fill="66CCFF"/>
            <w:noWrap/>
          </w:tcPr>
          <w:p>
            <w:pPr>
              <w:pStyle w:val="2"/>
              <w:spacing w:line="560" w:lineRule="exact"/>
              <w:ind w:left="0" w:leftChars="0"/>
              <w:jc w:val="center"/>
              <w:rPr>
                <w:rFonts w:ascii="黑体" w:hAnsi="黑体" w:eastAsia="黑体" w:cs="仿宋_GB2312"/>
                <w:sz w:val="28"/>
                <w:szCs w:val="28"/>
              </w:rPr>
            </w:pPr>
            <w:r>
              <w:rPr>
                <w:rFonts w:hint="eastAsia" w:ascii="黑体" w:hAnsi="黑体" w:eastAsia="黑体" w:cs="仿宋_GB2312"/>
                <w:sz w:val="28"/>
                <w:szCs w:val="28"/>
              </w:rPr>
              <w:t>序号</w:t>
            </w:r>
          </w:p>
        </w:tc>
        <w:tc>
          <w:tcPr>
            <w:tcW w:w="7233" w:type="dxa"/>
            <w:shd w:val="clear" w:color="auto" w:fill="66CCFF"/>
            <w:noWrap/>
          </w:tcPr>
          <w:p>
            <w:pPr>
              <w:pStyle w:val="2"/>
              <w:spacing w:line="560" w:lineRule="exact"/>
              <w:ind w:left="0" w:leftChars="0"/>
              <w:jc w:val="center"/>
              <w:rPr>
                <w:rFonts w:ascii="黑体" w:hAnsi="黑体" w:eastAsia="黑体" w:cs="仿宋_GB2312"/>
                <w:sz w:val="28"/>
                <w:szCs w:val="28"/>
              </w:rPr>
            </w:pPr>
            <w:r>
              <w:rPr>
                <w:rFonts w:hint="eastAsia" w:ascii="黑体" w:hAnsi="黑体" w:eastAsia="黑体" w:cs="仿宋_GB2312"/>
                <w:sz w:val="28"/>
                <w:szCs w:val="28"/>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4" w:type="dxa"/>
            <w:shd w:val="clear" w:color="auto" w:fill="E9F1F5"/>
            <w:noWrap/>
            <w:vAlign w:val="center"/>
          </w:tcPr>
          <w:p>
            <w:pPr>
              <w:pStyle w:val="2"/>
              <w:spacing w:line="440" w:lineRule="exact"/>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233" w:type="dxa"/>
            <w:shd w:val="clear" w:color="auto" w:fill="E9F1F5"/>
            <w:noWrap/>
            <w:vAlign w:val="center"/>
          </w:tcPr>
          <w:p>
            <w:pPr>
              <w:pStyle w:val="2"/>
              <w:spacing w:line="440" w:lineRule="exact"/>
              <w:ind w:left="0" w:left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如何享受六税两费优惠政策？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4" w:type="dxa"/>
            <w:shd w:val="clear" w:color="auto" w:fill="FFFFFF"/>
            <w:noWrap/>
            <w:vAlign w:val="center"/>
          </w:tcPr>
          <w:p>
            <w:pPr>
              <w:pStyle w:val="2"/>
              <w:spacing w:line="440" w:lineRule="exact"/>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233" w:type="dxa"/>
            <w:shd w:val="clear" w:color="auto" w:fill="FFFFFF"/>
            <w:noWrap/>
            <w:vAlign w:val="center"/>
          </w:tcPr>
          <w:p>
            <w:pPr>
              <w:pStyle w:val="2"/>
              <w:spacing w:line="440" w:lineRule="exact"/>
              <w:ind w:left="0" w:left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小规模纳税人有哪些资源税优惠政策？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4" w:type="dxa"/>
            <w:shd w:val="clear" w:color="auto" w:fill="E9F1F5"/>
            <w:noWrap/>
            <w:vAlign w:val="center"/>
          </w:tcPr>
          <w:p>
            <w:pPr>
              <w:pStyle w:val="2"/>
              <w:spacing w:line="440" w:lineRule="exact"/>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7233" w:type="dxa"/>
            <w:shd w:val="clear" w:color="auto" w:fill="E9F1F5"/>
            <w:noWrap/>
            <w:vAlign w:val="center"/>
          </w:tcPr>
          <w:p>
            <w:pPr>
              <w:pStyle w:val="2"/>
              <w:spacing w:line="440" w:lineRule="exact"/>
              <w:ind w:left="0" w:left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销售哪些饲料产品可享受免征增值税优惠？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64" w:type="dxa"/>
            <w:shd w:val="clear" w:color="auto" w:fill="FFFFFF"/>
            <w:noWrap/>
            <w:vAlign w:val="center"/>
          </w:tcPr>
          <w:p>
            <w:pPr>
              <w:pStyle w:val="2"/>
              <w:spacing w:line="440" w:lineRule="exact"/>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233" w:type="dxa"/>
            <w:shd w:val="clear" w:color="auto" w:fill="FFFFFF"/>
            <w:noWrap/>
            <w:vAlign w:val="center"/>
          </w:tcPr>
          <w:p>
            <w:pPr>
              <w:pStyle w:val="2"/>
              <w:spacing w:line="440" w:lineRule="exact"/>
              <w:ind w:left="0" w:left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亏损企业能否享受小型微利企业所得税优惠政策？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4" w:type="dxa"/>
            <w:shd w:val="clear" w:color="auto" w:fill="E9F1F5"/>
            <w:noWrap/>
            <w:vAlign w:val="center"/>
          </w:tcPr>
          <w:p>
            <w:pPr>
              <w:pStyle w:val="2"/>
              <w:spacing w:line="440" w:lineRule="exact"/>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233" w:type="dxa"/>
            <w:shd w:val="clear" w:color="auto" w:fill="E9F1F5"/>
            <w:noWrap/>
            <w:vAlign w:val="center"/>
          </w:tcPr>
          <w:p>
            <w:pPr>
              <w:pStyle w:val="2"/>
              <w:spacing w:line="440" w:lineRule="exact"/>
              <w:ind w:left="0" w:left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蔬菜流通环节免征增值税优惠的政策依据是什么？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4" w:type="dxa"/>
            <w:shd w:val="clear" w:color="auto" w:fill="FFFFFF"/>
            <w:noWrap/>
            <w:vAlign w:val="center"/>
          </w:tcPr>
          <w:p>
            <w:pPr>
              <w:pStyle w:val="2"/>
              <w:spacing w:line="440" w:lineRule="exact"/>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233" w:type="dxa"/>
            <w:shd w:val="clear" w:color="auto" w:fill="FFFFFF"/>
            <w:noWrap/>
            <w:vAlign w:val="center"/>
          </w:tcPr>
          <w:p>
            <w:pPr>
              <w:pStyle w:val="2"/>
              <w:spacing w:line="440" w:lineRule="exact"/>
              <w:ind w:left="0" w:left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西部大开发企业所得税优惠是否能跟其他优惠政策叠加享受？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4" w:type="dxa"/>
            <w:shd w:val="clear" w:color="auto" w:fill="E9F1F5"/>
            <w:noWrap/>
            <w:vAlign w:val="center"/>
          </w:tcPr>
          <w:p>
            <w:pPr>
              <w:pStyle w:val="2"/>
              <w:spacing w:line="440" w:lineRule="exact"/>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7233" w:type="dxa"/>
            <w:shd w:val="clear" w:color="auto" w:fill="E9F1F5"/>
            <w:noWrap/>
            <w:vAlign w:val="center"/>
          </w:tcPr>
          <w:p>
            <w:pPr>
              <w:pStyle w:val="2"/>
              <w:spacing w:line="440" w:lineRule="exact"/>
              <w:ind w:left="0" w:left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农业生产者自产销售的农产品免征增值税，可抵扣的凭证有哪些？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64" w:type="dxa"/>
            <w:shd w:val="clear" w:color="auto" w:fill="FFFFFF"/>
            <w:noWrap/>
            <w:vAlign w:val="center"/>
          </w:tcPr>
          <w:p>
            <w:pPr>
              <w:pStyle w:val="2"/>
              <w:spacing w:line="440" w:lineRule="exact"/>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7233" w:type="dxa"/>
            <w:shd w:val="clear" w:color="auto" w:fill="FFFFFF"/>
            <w:noWrap/>
            <w:vAlign w:val="center"/>
          </w:tcPr>
          <w:p>
            <w:pPr>
              <w:pStyle w:val="2"/>
              <w:spacing w:line="440" w:lineRule="exact"/>
              <w:ind w:left="0" w:left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如何在新电子税务局办理小规模纳税人增值税及附加税费申报？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4" w:type="dxa"/>
            <w:shd w:val="clear" w:color="auto" w:fill="E9F1F5"/>
            <w:noWrap/>
            <w:vAlign w:val="center"/>
          </w:tcPr>
          <w:p>
            <w:pPr>
              <w:pStyle w:val="2"/>
              <w:spacing w:line="440" w:lineRule="exact"/>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7233" w:type="dxa"/>
            <w:shd w:val="clear" w:color="auto" w:fill="E9F1F5"/>
            <w:noWrap/>
            <w:vAlign w:val="center"/>
          </w:tcPr>
          <w:p>
            <w:pPr>
              <w:pStyle w:val="2"/>
              <w:spacing w:line="440" w:lineRule="exact"/>
              <w:ind w:left="0" w:left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销售自产农产品是否免征增值税？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064" w:type="dxa"/>
            <w:shd w:val="clear" w:color="auto" w:fill="FFFFFF"/>
            <w:noWrap/>
            <w:vAlign w:val="center"/>
          </w:tcPr>
          <w:p>
            <w:pPr>
              <w:pStyle w:val="2"/>
              <w:spacing w:line="440" w:lineRule="exact"/>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233" w:type="dxa"/>
            <w:shd w:val="clear" w:color="auto" w:fill="FFFFFF"/>
            <w:noWrap/>
            <w:vAlign w:val="center"/>
          </w:tcPr>
          <w:p>
            <w:pPr>
              <w:pStyle w:val="2"/>
              <w:spacing w:line="440" w:lineRule="exact"/>
              <w:ind w:left="0" w:left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企业享受增值税加计抵减政策，加计抵减部分的增值税是不是需要缴纳企业所得税？</w:t>
            </w:r>
          </w:p>
        </w:tc>
      </w:tr>
    </w:tbl>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表1：兴安盟问题热点分类排行TOP10</w:t>
      </w:r>
    </w:p>
    <w:p>
      <w:pPr>
        <w:pStyle w:val="2"/>
        <w:spacing w:line="560" w:lineRule="exact"/>
        <w:ind w:left="0" w:leftChars="0" w:firstLine="640" w:firstLineChars="200"/>
        <w:rPr>
          <w:rFonts w:ascii="仿宋_GB2312" w:hAnsi="仿宋_GB2312" w:eastAsia="仿宋_GB2312" w:cs="仿宋_GB2312"/>
          <w:kern w:val="0"/>
          <w:sz w:val="32"/>
          <w:szCs w:val="32"/>
        </w:rPr>
      </w:pP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结合数据来看，这些热点反映出以下几方面问题：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1.纳税人需求层面</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政策精准需求高。如“如何享受六税两费优惠政策”“小规模纳税人有哪些资源税优惠政策”等问题，说明纳税人渴望精准掌握税收优惠政策细节，以合规享受红利，降低办税成本，体现对政策“知全貌，会应用”的需求。</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（2）实操流程疑惑多。“如何在电子税务局办理小规模纳税人增值税及附加税申报”这类问题，凸显办税流程，系统操作等实操环节，是纳税人办税“堵点”，需征纳互动中给与清晰指引，助力便捷办税。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2.税务机关服务层面</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政策宣传与辅导优化方向。高频问题集中在优惠政策享受上，提示税务机关需针对性强化政策宣传，比如通过精准推送、线下专题辅导等，围绕“六费两费”“小规模纳税人优惠”等重点政策，讲清适用范围及操作要点。</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发挥征纳互动渠道作用。这些热点问题是征纳互动的“发力点”，税务机关可依托电子税务局互动模、12366热线、税企交流群等，对高频问题及时响应和解答，建立“问题收集-分析-反馈-优化服务”闭环，提升纳税人满意度，促进征纳良性互动。</w:t>
      </w:r>
    </w:p>
    <w:tbl>
      <w:tblPr>
        <w:tblStyle w:val="13"/>
        <w:tblW w:w="845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336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79" w:type="dxa"/>
            <w:shd w:val="clear" w:color="auto" w:fill="66CCFF"/>
            <w:noWrap/>
            <w:vAlign w:val="center"/>
          </w:tcPr>
          <w:p>
            <w:pPr>
              <w:widowControl/>
              <w:spacing w:line="560" w:lineRule="exact"/>
              <w:jc w:val="center"/>
              <w:textAlignment w:val="center"/>
              <w:rPr>
                <w:rFonts w:ascii="黑体" w:hAnsi="黑体" w:eastAsia="黑体" w:cs="仿宋_GB2312"/>
                <w:bCs/>
                <w:sz w:val="24"/>
                <w:szCs w:val="24"/>
              </w:rPr>
            </w:pPr>
            <w:r>
              <w:rPr>
                <w:rFonts w:hint="eastAsia" w:ascii="黑体" w:hAnsi="黑体" w:eastAsia="黑体" w:cs="仿宋_GB2312"/>
                <w:bCs/>
                <w:sz w:val="24"/>
                <w:szCs w:val="24"/>
              </w:rPr>
              <w:t>排名</w:t>
            </w:r>
          </w:p>
        </w:tc>
        <w:tc>
          <w:tcPr>
            <w:tcW w:w="3364" w:type="dxa"/>
            <w:shd w:val="clear" w:color="auto" w:fill="66CCFF"/>
            <w:noWrap/>
            <w:vAlign w:val="center"/>
          </w:tcPr>
          <w:p>
            <w:pPr>
              <w:widowControl/>
              <w:spacing w:line="560" w:lineRule="exact"/>
              <w:jc w:val="center"/>
              <w:textAlignment w:val="center"/>
              <w:rPr>
                <w:rFonts w:ascii="黑体" w:hAnsi="黑体" w:eastAsia="黑体" w:cs="仿宋_GB2312"/>
                <w:bCs/>
                <w:sz w:val="24"/>
                <w:szCs w:val="24"/>
              </w:rPr>
            </w:pPr>
            <w:r>
              <w:rPr>
                <w:rFonts w:hint="eastAsia" w:ascii="黑体" w:hAnsi="黑体" w:eastAsia="黑体" w:cs="仿宋_GB2312"/>
                <w:bCs/>
                <w:kern w:val="0"/>
                <w:sz w:val="24"/>
                <w:szCs w:val="24"/>
              </w:rPr>
              <w:t>问题解答类别</w:t>
            </w:r>
          </w:p>
        </w:tc>
        <w:tc>
          <w:tcPr>
            <w:tcW w:w="3015" w:type="dxa"/>
            <w:shd w:val="clear" w:color="auto" w:fill="66CCFF"/>
            <w:noWrap/>
            <w:vAlign w:val="center"/>
          </w:tcPr>
          <w:p>
            <w:pPr>
              <w:widowControl/>
              <w:spacing w:line="560" w:lineRule="exact"/>
              <w:jc w:val="center"/>
              <w:textAlignment w:val="center"/>
              <w:rPr>
                <w:rFonts w:ascii="黑体" w:hAnsi="黑体" w:eastAsia="黑体" w:cs="仿宋_GB2312"/>
                <w:bCs/>
                <w:sz w:val="24"/>
                <w:szCs w:val="24"/>
              </w:rPr>
            </w:pPr>
            <w:r>
              <w:rPr>
                <w:rFonts w:hint="eastAsia" w:ascii="黑体" w:hAnsi="黑体" w:eastAsia="黑体" w:cs="仿宋_GB2312"/>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79" w:type="dxa"/>
            <w:shd w:val="clear" w:color="auto" w:fill="E9F1F5"/>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w:t>
            </w:r>
          </w:p>
        </w:tc>
        <w:tc>
          <w:tcPr>
            <w:tcW w:w="3364" w:type="dxa"/>
            <w:shd w:val="clear" w:color="auto" w:fill="E9F1F5"/>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增值税</w:t>
            </w:r>
          </w:p>
        </w:tc>
        <w:tc>
          <w:tcPr>
            <w:tcW w:w="3015" w:type="dxa"/>
            <w:shd w:val="clear" w:color="auto" w:fill="E9F1F5"/>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11698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79" w:type="dxa"/>
            <w:shd w:val="clear" w:color="auto" w:fill="FFFFFF"/>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p>
        </w:tc>
        <w:tc>
          <w:tcPr>
            <w:tcW w:w="3364" w:type="dxa"/>
            <w:shd w:val="clear" w:color="auto" w:fill="FFFFFF"/>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资源税</w:t>
            </w:r>
          </w:p>
        </w:tc>
        <w:tc>
          <w:tcPr>
            <w:tcW w:w="3015" w:type="dxa"/>
            <w:shd w:val="clear" w:color="auto" w:fill="FFFFFF"/>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8784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79" w:type="dxa"/>
            <w:shd w:val="clear" w:color="auto" w:fill="E9F1F5"/>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w:t>
            </w:r>
          </w:p>
        </w:tc>
        <w:tc>
          <w:tcPr>
            <w:tcW w:w="3364" w:type="dxa"/>
            <w:shd w:val="clear" w:color="auto" w:fill="E9F1F5"/>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企业所得税</w:t>
            </w:r>
          </w:p>
        </w:tc>
        <w:tc>
          <w:tcPr>
            <w:tcW w:w="3015" w:type="dxa"/>
            <w:shd w:val="clear" w:color="auto" w:fill="E9F1F5"/>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6951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79" w:type="dxa"/>
            <w:shd w:val="clear" w:color="auto" w:fill="FFFFFF"/>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4</w:t>
            </w:r>
          </w:p>
        </w:tc>
        <w:tc>
          <w:tcPr>
            <w:tcW w:w="3364" w:type="dxa"/>
            <w:shd w:val="clear" w:color="auto" w:fill="FFFFFF"/>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非税收入</w:t>
            </w:r>
          </w:p>
        </w:tc>
        <w:tc>
          <w:tcPr>
            <w:tcW w:w="3015" w:type="dxa"/>
            <w:shd w:val="clear" w:color="auto" w:fill="FFFFFF"/>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3994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79" w:type="dxa"/>
            <w:shd w:val="clear" w:color="auto" w:fill="E9F1F5"/>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5</w:t>
            </w:r>
          </w:p>
        </w:tc>
        <w:tc>
          <w:tcPr>
            <w:tcW w:w="3364" w:type="dxa"/>
            <w:shd w:val="clear" w:color="auto" w:fill="E9F1F5"/>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房产税</w:t>
            </w:r>
          </w:p>
        </w:tc>
        <w:tc>
          <w:tcPr>
            <w:tcW w:w="3015" w:type="dxa"/>
            <w:shd w:val="clear" w:color="auto" w:fill="E9F1F5"/>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79" w:type="dxa"/>
            <w:shd w:val="clear" w:color="auto" w:fill="FFFFFF"/>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6</w:t>
            </w:r>
          </w:p>
        </w:tc>
        <w:tc>
          <w:tcPr>
            <w:tcW w:w="3364" w:type="dxa"/>
            <w:shd w:val="clear" w:color="auto" w:fill="FFFFFF"/>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城镇土地使用税</w:t>
            </w:r>
          </w:p>
        </w:tc>
        <w:tc>
          <w:tcPr>
            <w:tcW w:w="3015" w:type="dxa"/>
            <w:shd w:val="clear" w:color="auto" w:fill="FFFFFF"/>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79" w:type="dxa"/>
            <w:shd w:val="clear" w:color="auto" w:fill="E9F1F5"/>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7</w:t>
            </w:r>
          </w:p>
        </w:tc>
        <w:tc>
          <w:tcPr>
            <w:tcW w:w="3364" w:type="dxa"/>
            <w:shd w:val="clear" w:color="auto" w:fill="E9F1F5"/>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城市维护建设税</w:t>
            </w:r>
          </w:p>
        </w:tc>
        <w:tc>
          <w:tcPr>
            <w:tcW w:w="3015" w:type="dxa"/>
            <w:shd w:val="clear" w:color="auto" w:fill="E9F1F5"/>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79" w:type="dxa"/>
            <w:shd w:val="clear" w:color="auto" w:fill="FFFFFF"/>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8</w:t>
            </w:r>
          </w:p>
        </w:tc>
        <w:tc>
          <w:tcPr>
            <w:tcW w:w="3364" w:type="dxa"/>
            <w:shd w:val="clear" w:color="auto" w:fill="FFFFFF"/>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印花税</w:t>
            </w:r>
          </w:p>
        </w:tc>
        <w:tc>
          <w:tcPr>
            <w:tcW w:w="3015" w:type="dxa"/>
            <w:shd w:val="clear" w:color="auto" w:fill="FFFFFF"/>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79" w:type="dxa"/>
            <w:shd w:val="clear" w:color="auto" w:fill="E9F1F5"/>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9</w:t>
            </w:r>
          </w:p>
        </w:tc>
        <w:tc>
          <w:tcPr>
            <w:tcW w:w="3364" w:type="dxa"/>
            <w:shd w:val="clear" w:color="auto" w:fill="E9F1F5"/>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耕地占用税</w:t>
            </w:r>
          </w:p>
        </w:tc>
        <w:tc>
          <w:tcPr>
            <w:tcW w:w="3015" w:type="dxa"/>
            <w:shd w:val="clear" w:color="auto" w:fill="E9F1F5"/>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079" w:type="dxa"/>
            <w:shd w:val="clear" w:color="auto" w:fill="FFFFFF"/>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10</w:t>
            </w:r>
          </w:p>
        </w:tc>
        <w:tc>
          <w:tcPr>
            <w:tcW w:w="3364" w:type="dxa"/>
            <w:shd w:val="clear" w:color="auto" w:fill="FFFFFF"/>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系统操作</w:t>
            </w:r>
          </w:p>
        </w:tc>
        <w:tc>
          <w:tcPr>
            <w:tcW w:w="3015" w:type="dxa"/>
            <w:shd w:val="clear" w:color="auto" w:fill="FFFFFF"/>
            <w:noWrap/>
            <w:vAlign w:val="center"/>
          </w:tcPr>
          <w:p>
            <w:pPr>
              <w:widowControl/>
              <w:spacing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1777</w:t>
            </w:r>
          </w:p>
        </w:tc>
      </w:tr>
    </w:tbl>
    <w:p>
      <w:pPr>
        <w:pStyle w:val="2"/>
        <w:spacing w:line="560" w:lineRule="exact"/>
        <w:ind w:left="0" w:leftChars="0"/>
        <w:jc w:val="center"/>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表2：问题解答热点统计分析表</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将问题解答类别和数据相结合，简要分析如下：</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3.税种维度，聚焦高频税种，反映需求与服务重点。</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增值税，资源税，企业所得税咨询量位居前三，说明这些税种政策复杂，业务场景多，是纳税人办税“痛点区”，也是征纳互动关键“战场”。税务机关需在这些领域强化政策解读，办税辅导，比如针对增值税优惠，企业所得税汇算清缴等，通过线上直播，线下专题互动培训，及时回应纳税人疑问，提升政策知晓度和办税准确性。</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4.非税收入与小税种，关注“长尾需求”，完善互动覆盖。</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非税收入，房产税等虽咨询量相对低，但也是征纳互动组成。这类业务涉及特定行业，特定场景（如房产交易涉及房产税，城镇土地使用税），税务机关要通过税企群，12366等渠道，精准触达有需求的纳税人，补充互动服务“拼图”，避免关注“大头”，忽略“长尾”,影响整体办税体验。</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5.系统操作：技术类需求凸显，优化互动支撑。</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系统操作了咨询量说明电子办税系统是征纳互动重要载体，也反映了纳税人对系统功能，操作流程存在困惑。税务机关需优化系统操作指引（如制作短视频教程，在线模拟实操），并在征纳互动中嵌入系统操作辅导，比如通过远程协助帮助纳税人解决申报报错，流程卡顿等问题，让技术工具更“易用”，保障征纳互动流畅。</w:t>
      </w:r>
    </w:p>
    <w:p>
      <w:pPr>
        <w:pStyle w:val="3"/>
        <w:spacing w:before="0" w:after="0" w:line="560" w:lineRule="exact"/>
        <w:ind w:firstLine="640" w:firstLineChars="200"/>
        <w:rPr>
          <w:rFonts w:ascii="楷体_GB2312" w:hAnsi="楷体_GB2312" w:eastAsia="楷体_GB2312" w:cs="楷体_GB2312"/>
          <w:b w:val="0"/>
          <w:sz w:val="32"/>
          <w:szCs w:val="32"/>
        </w:rPr>
      </w:pPr>
      <w:bookmarkStart w:id="3" w:name="_Toc19325"/>
      <w:r>
        <w:rPr>
          <w:rFonts w:hint="eastAsia" w:ascii="楷体_GB2312" w:hAnsi="楷体_GB2312" w:eastAsia="楷体_GB2312" w:cs="楷体_GB2312"/>
          <w:b w:val="0"/>
          <w:sz w:val="32"/>
          <w:szCs w:val="32"/>
        </w:rPr>
        <w:t>（三）征纳互动服务水平分析</w:t>
      </w:r>
      <w:bookmarkEnd w:id="3"/>
    </w:p>
    <w:tbl>
      <w:tblPr>
        <w:tblStyle w:val="14"/>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3"/>
        <w:gridCol w:w="4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66CCFF"/>
            <w:noWrap/>
            <w:vAlign w:val="center"/>
          </w:tcPr>
          <w:p>
            <w:pPr>
              <w:jc w:val="center"/>
              <w:rPr>
                <w:rFonts w:ascii="黑体" w:hAnsi="黑体" w:eastAsia="黑体" w:cs="仿宋_GB2312"/>
                <w:sz w:val="28"/>
                <w:szCs w:val="28"/>
              </w:rPr>
            </w:pPr>
            <w:r>
              <w:rPr>
                <w:rFonts w:hint="eastAsia" w:ascii="黑体" w:hAnsi="黑体" w:eastAsia="黑体" w:cs="仿宋_GB2312"/>
                <w:bCs/>
                <w:sz w:val="28"/>
                <w:szCs w:val="28"/>
              </w:rPr>
              <w:t>互动类别</w:t>
            </w:r>
          </w:p>
        </w:tc>
        <w:tc>
          <w:tcPr>
            <w:tcW w:w="4866" w:type="dxa"/>
            <w:shd w:val="clear" w:color="auto" w:fill="66CCFF"/>
            <w:noWrap/>
            <w:vAlign w:val="center"/>
          </w:tcPr>
          <w:p>
            <w:pPr>
              <w:jc w:val="center"/>
              <w:rPr>
                <w:rFonts w:ascii="黑体" w:hAnsi="黑体" w:eastAsia="黑体" w:cs="仿宋_GB2312"/>
                <w:sz w:val="28"/>
                <w:szCs w:val="28"/>
              </w:rPr>
            </w:pPr>
            <w:r>
              <w:rPr>
                <w:rFonts w:hint="eastAsia" w:ascii="黑体" w:hAnsi="黑体" w:eastAsia="黑体" w:cs="仿宋_GB2312"/>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有效互动次数</w:t>
            </w:r>
          </w:p>
        </w:tc>
        <w:tc>
          <w:tcPr>
            <w:tcW w:w="4866" w:type="dxa"/>
            <w:shd w:val="clear" w:color="auto" w:fill="E9F1F5"/>
            <w:noWrap/>
            <w:vAlign w:val="center"/>
          </w:tcPr>
          <w:p>
            <w:pPr>
              <w:widowControl/>
              <w:jc w:val="center"/>
              <w:rPr>
                <w:rFonts w:ascii="仿宋_GB2312" w:hAnsi="仿宋_GB2312" w:eastAsia="仿宋_GB2312" w:cs="仿宋_GB2312"/>
                <w:sz w:val="24"/>
                <w:szCs w:val="28"/>
              </w:rPr>
            </w:pPr>
            <w:r>
              <w:rPr>
                <w:rFonts w:hint="eastAsia" w:ascii="仿宋_GB2312" w:hAnsi="仿宋_GB2312" w:eastAsia="仿宋_GB2312" w:cs="仿宋_GB2312"/>
                <w:kern w:val="0"/>
                <w:sz w:val="24"/>
                <w:szCs w:val="24"/>
                <w:shd w:val="clear" w:color="auto" w:fill="FFFFFF"/>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智能互动服务量</w:t>
            </w:r>
          </w:p>
        </w:tc>
        <w:tc>
          <w:tcPr>
            <w:tcW w:w="4866"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4315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智能应答发起量</w:t>
            </w:r>
          </w:p>
        </w:tc>
        <w:tc>
          <w:tcPr>
            <w:tcW w:w="4866"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3694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智能应答有效次数</w:t>
            </w:r>
          </w:p>
        </w:tc>
        <w:tc>
          <w:tcPr>
            <w:tcW w:w="4866"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人工互动服务量</w:t>
            </w:r>
          </w:p>
        </w:tc>
        <w:tc>
          <w:tcPr>
            <w:tcW w:w="4866" w:type="dxa"/>
            <w:shd w:val="clear" w:color="auto" w:fill="E9F1F5"/>
            <w:noWrap/>
            <w:vAlign w:val="center"/>
          </w:tcPr>
          <w:p>
            <w:pPr>
              <w:widowControl/>
              <w:jc w:val="center"/>
              <w:rPr>
                <w:rFonts w:ascii="仿宋_GB2312" w:hAnsi="仿宋_GB2312" w:eastAsia="仿宋_GB2312" w:cs="仿宋_GB2312"/>
                <w:sz w:val="24"/>
                <w:szCs w:val="28"/>
              </w:rPr>
            </w:pPr>
            <w:r>
              <w:rPr>
                <w:rFonts w:hint="eastAsia" w:ascii="仿宋_GB2312" w:hAnsi="仿宋_GB2312" w:eastAsia="仿宋_GB2312" w:cs="仿宋_GB2312"/>
                <w:kern w:val="0"/>
                <w:sz w:val="24"/>
                <w:szCs w:val="24"/>
                <w:shd w:val="clear" w:color="auto" w:fill="FFFFFF"/>
              </w:rP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人工互动有效发起量</w:t>
            </w:r>
          </w:p>
        </w:tc>
        <w:tc>
          <w:tcPr>
            <w:tcW w:w="4866"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留言互动办结量</w:t>
            </w:r>
          </w:p>
        </w:tc>
        <w:tc>
          <w:tcPr>
            <w:tcW w:w="4866"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电话互动服务量</w:t>
            </w:r>
          </w:p>
        </w:tc>
        <w:tc>
          <w:tcPr>
            <w:tcW w:w="4866"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预约互动发起量</w:t>
            </w:r>
          </w:p>
        </w:tc>
        <w:tc>
          <w:tcPr>
            <w:tcW w:w="4866"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坐席人工互动总时长</w:t>
            </w:r>
          </w:p>
        </w:tc>
        <w:tc>
          <w:tcPr>
            <w:tcW w:w="4866"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206时17分18秒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坐席平均服务时长</w:t>
            </w:r>
          </w:p>
        </w:tc>
        <w:tc>
          <w:tcPr>
            <w:tcW w:w="4866"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0时25分28秒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纳税人等候总时长</w:t>
            </w:r>
          </w:p>
        </w:tc>
        <w:tc>
          <w:tcPr>
            <w:tcW w:w="4866"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2时14分51秒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平均人工互动等候时长(秒)</w:t>
            </w:r>
          </w:p>
        </w:tc>
        <w:tc>
          <w:tcPr>
            <w:tcW w:w="4866"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0时0分11秒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纳税人咨询总时长</w:t>
            </w:r>
          </w:p>
        </w:tc>
        <w:tc>
          <w:tcPr>
            <w:tcW w:w="4866"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206时17分18秒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智能应答平均时长</w:t>
            </w:r>
          </w:p>
        </w:tc>
        <w:tc>
          <w:tcPr>
            <w:tcW w:w="4866"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4595.54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893"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转人工率</w:t>
            </w:r>
          </w:p>
        </w:tc>
        <w:tc>
          <w:tcPr>
            <w:tcW w:w="4866"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64.38%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893"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人工互动平均时长</w:t>
            </w:r>
          </w:p>
        </w:tc>
        <w:tc>
          <w:tcPr>
            <w:tcW w:w="4866" w:type="dxa"/>
            <w:shd w:val="clear" w:color="auto" w:fill="E9F1F5"/>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0时17分29秒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893"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人工互动成功率</w:t>
            </w:r>
          </w:p>
        </w:tc>
        <w:tc>
          <w:tcPr>
            <w:tcW w:w="4866" w:type="dxa"/>
            <w:shd w:val="clear" w:color="auto" w:fill="FFFFFF"/>
            <w:noWrap/>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99.44%</w:t>
            </w:r>
          </w:p>
        </w:tc>
      </w:tr>
    </w:tbl>
    <w:p>
      <w:pPr>
        <w:spacing w:line="56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sz w:val="32"/>
          <w:szCs w:val="32"/>
        </w:rPr>
        <w:t>表3：兴安盟智能互动业务状况及服务效能</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kern w:val="0"/>
          <w:sz w:val="32"/>
          <w:szCs w:val="32"/>
        </w:rPr>
        <w:t>以下将从征纳互动服务效能，资源配置，优化方向三方面，结合数据分析如下：</w:t>
      </w:r>
    </w:p>
    <w:p>
      <w:pPr>
        <w:pStyle w:val="2"/>
        <w:spacing w:line="560" w:lineRule="exact"/>
        <w:ind w:left="0" w:leftChars="0" w:firstLine="640" w:firstLineChars="200"/>
        <w:rPr>
          <w:rFonts w:ascii="仿宋_GB2312" w:hAnsi="仿宋_GB2312" w:eastAsia="仿宋_GB2312" w:cs="仿宋_GB2312"/>
        </w:rPr>
      </w:pPr>
      <w:r>
        <w:rPr>
          <w:rFonts w:hint="eastAsia" w:ascii="仿宋_GB2312" w:hAnsi="仿宋_GB2312" w:eastAsia="仿宋_GB2312" w:cs="仿宋_GB2312"/>
          <w:kern w:val="0"/>
          <w:sz w:val="32"/>
          <w:szCs w:val="32"/>
        </w:rPr>
        <w:t>1.服务效能呈现：智能与人工协同，有亮点也存优化点。</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智能服务担当“基础岗”。智能互动服务量（4315）远高于人工互动(739),说明智能应答是征纳互动的“前哨”，能承接大量基础咨询。但智能应答有效次数（1092）与发起数量（3694）有差距，反映智能问答精准度有待提升，部分问题需人工兜底，也对应“转人工率64.38%”较高，说明智能服务对复杂问题支撑不足。</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kern w:val="0"/>
          <w:sz w:val="32"/>
          <w:szCs w:val="32"/>
        </w:rPr>
        <w:t>（2）人工服务保障“攻坚岗”。人工互动成功率99.44%,体现坐席人员专业能看，能高效的解决纳税人难题；平均服务时长0时17分29秒，说明人工服务在复杂问题处理上投入精力，保障服务质量。不过“坐席平均服务时长0时25分28秒”高于人工互动平均时长，需关注坐席工作负荷与效率平衡。</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kern w:val="0"/>
          <w:sz w:val="32"/>
          <w:szCs w:val="32"/>
        </w:rPr>
        <w:t>2.资源配置与流程：响应速度有优势，仍可挖掘潜力。</w:t>
      </w:r>
    </w:p>
    <w:p>
      <w:pPr>
        <w:pStyle w:val="2"/>
        <w:spacing w:line="560" w:lineRule="exact"/>
        <w:ind w:left="0" w:leftChars="0" w:firstLine="640" w:firstLineChars="200"/>
        <w:rPr>
          <w:rFonts w:ascii="仿宋_GB2312" w:hAnsi="仿宋_GB2312" w:eastAsia="仿宋_GB2312" w:cs="仿宋_GB2312"/>
        </w:rPr>
      </w:pPr>
      <w:r>
        <w:rPr>
          <w:rFonts w:hint="eastAsia" w:ascii="仿宋_GB2312" w:hAnsi="仿宋_GB2312" w:eastAsia="仿宋_GB2312" w:cs="仿宋_GB2312"/>
          <w:kern w:val="0"/>
          <w:sz w:val="32"/>
          <w:szCs w:val="32"/>
        </w:rPr>
        <w:t>（1）响应效率亮点。纳税人平均人工互动等候时长仅为0时0分11秒，说明征纳互动渠道响应快，能快速衔接人工服务，减少纳税人等待焦虑，这是服务流程优化的成果。</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（2）资源挖掘空间。电话互动服务量为0，预约互动发起量为5，说明部分互动渠道为充分利用。</w:t>
      </w:r>
    </w:p>
    <w:p>
      <w:pPr>
        <w:pStyle w:val="2"/>
        <w:spacing w:line="560" w:lineRule="exact"/>
        <w:ind w:left="0" w:lef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总体来看，</w:t>
      </w:r>
      <w:r>
        <w:rPr>
          <w:rFonts w:hint="eastAsia" w:ascii="仿宋_GB2312" w:hAnsi="仿宋_GB2312" w:eastAsia="仿宋_GB2312" w:cs="仿宋_GB2312"/>
          <w:sz w:val="32"/>
          <w:szCs w:val="32"/>
        </w:rPr>
        <w:t>兴安盟征纳互动服务运营中心</w:t>
      </w:r>
      <w:r>
        <w:rPr>
          <w:rFonts w:hint="eastAsia" w:ascii="仿宋_GB2312" w:hAnsi="仿宋_GB2312" w:eastAsia="仿宋_GB2312" w:cs="仿宋_GB2312"/>
          <w:kern w:val="0"/>
          <w:sz w:val="32"/>
          <w:szCs w:val="32"/>
        </w:rPr>
        <w:t>有良好基础，响应快，人工成功率高,但在智能服务精准，渠道协同，服务精细上有优化空间，通过“强智能，拓渠道，精服务”，可进一步提升征纳互动质效，更好的响应纳税人需求。</w:t>
      </w:r>
    </w:p>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2"/>
        <w:gridCol w:w="936"/>
        <w:gridCol w:w="852"/>
        <w:gridCol w:w="968"/>
        <w:gridCol w:w="915"/>
        <w:gridCol w:w="960"/>
        <w:gridCol w:w="96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留言互动发起量</w:t>
            </w:r>
          </w:p>
        </w:tc>
        <w:tc>
          <w:tcPr>
            <w:tcW w:w="852"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留言互动办结量</w:t>
            </w:r>
          </w:p>
        </w:tc>
        <w:tc>
          <w:tcPr>
            <w:tcW w:w="864"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留言互动办结率</w:t>
            </w:r>
          </w:p>
        </w:tc>
        <w:tc>
          <w:tcPr>
            <w:tcW w:w="852"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留言转工单率</w:t>
            </w:r>
          </w:p>
        </w:tc>
        <w:tc>
          <w:tcPr>
            <w:tcW w:w="968"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留言处理审核不通过量</w:t>
            </w:r>
          </w:p>
        </w:tc>
        <w:tc>
          <w:tcPr>
            <w:tcW w:w="915"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审核不通过率</w:t>
            </w:r>
          </w:p>
        </w:tc>
        <w:tc>
          <w:tcPr>
            <w:tcW w:w="960"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留言处理平均时长</w:t>
            </w:r>
          </w:p>
        </w:tc>
        <w:tc>
          <w:tcPr>
            <w:tcW w:w="960"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留言当日响应率</w:t>
            </w:r>
          </w:p>
        </w:tc>
        <w:tc>
          <w:tcPr>
            <w:tcW w:w="1035"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留言互动服务户数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51"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52"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64"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83.33%</w:t>
            </w:r>
          </w:p>
        </w:tc>
        <w:tc>
          <w:tcPr>
            <w:tcW w:w="852"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68"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5"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60"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1天</w:t>
            </w:r>
          </w:p>
        </w:tc>
        <w:tc>
          <w:tcPr>
            <w:tcW w:w="960"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1035"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r>
    </w:tbl>
    <w:p>
      <w:pPr>
        <w:pStyle w:val="2"/>
        <w:tabs>
          <w:tab w:val="left" w:pos="420"/>
        </w:tabs>
        <w:spacing w:line="560" w:lineRule="exact"/>
        <w:ind w:left="0" w:leftChars="0"/>
        <w:jc w:val="center"/>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表4：兴安盟留言互动统计分析报表</w:t>
      </w:r>
    </w:p>
    <w:p>
      <w:pPr>
        <w:pStyle w:val="2"/>
        <w:tabs>
          <w:tab w:val="left" w:pos="420"/>
        </w:tabs>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2.现有工作基础及成效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专人审核显效。审核不通过率，通过率均为0，说明专人审核把控力强，对留言内容，格式等审核严格且专业，保障进入处理环节的留言质量，也让留言办结率达83.33%，体现审核环节为后续搞笑办结筑牢基础。</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（2）流程协同初现。留言转工单率0%，结合办结率，反映留言从审核到处理流程顺畅，专人审核后，问题可在现有机制内解决，无需额外转派工单，说明审核标准与处理要求适配，初步实现“审核-处理”协同。</w:t>
      </w:r>
    </w:p>
    <w:tbl>
      <w:tblPr>
        <w:tblStyle w:val="14"/>
        <w:tblpPr w:leftFromText="180" w:rightFromText="180" w:vertAnchor="text" w:horzAnchor="page" w:tblpX="1805" w:tblpY="18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851"/>
        <w:gridCol w:w="863"/>
        <w:gridCol w:w="851"/>
        <w:gridCol w:w="936"/>
        <w:gridCol w:w="936"/>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850"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人工互动发起量</w:t>
            </w:r>
          </w:p>
        </w:tc>
        <w:tc>
          <w:tcPr>
            <w:tcW w:w="851"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纳税人人工互动发起量</w:t>
            </w:r>
          </w:p>
        </w:tc>
        <w:tc>
          <w:tcPr>
            <w:tcW w:w="863"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税务人人工互动发起量</w:t>
            </w:r>
          </w:p>
        </w:tc>
        <w:tc>
          <w:tcPr>
            <w:tcW w:w="851"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人工互动服务量</w:t>
            </w:r>
          </w:p>
        </w:tc>
        <w:tc>
          <w:tcPr>
            <w:tcW w:w="936"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人工互动服务占比</w:t>
            </w:r>
          </w:p>
          <w:p>
            <w:pPr>
              <w:spacing w:line="360" w:lineRule="exact"/>
              <w:jc w:val="center"/>
              <w:rPr>
                <w:rFonts w:ascii="黑体" w:hAnsi="黑体" w:eastAsia="黑体" w:cs="仿宋_GB2312"/>
                <w:sz w:val="24"/>
                <w:szCs w:val="24"/>
              </w:rPr>
            </w:pPr>
          </w:p>
        </w:tc>
        <w:tc>
          <w:tcPr>
            <w:tcW w:w="936"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人工互动成功率</w:t>
            </w:r>
          </w:p>
          <w:p>
            <w:pPr>
              <w:spacing w:line="360" w:lineRule="exact"/>
              <w:jc w:val="center"/>
              <w:rPr>
                <w:rFonts w:ascii="黑体" w:hAnsi="黑体" w:eastAsia="黑体" w:cs="仿宋_GB2312"/>
                <w:sz w:val="24"/>
                <w:szCs w:val="24"/>
              </w:rPr>
            </w:pPr>
          </w:p>
        </w:tc>
        <w:tc>
          <w:tcPr>
            <w:tcW w:w="851"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人工互动服务户数</w:t>
            </w:r>
          </w:p>
        </w:tc>
        <w:tc>
          <w:tcPr>
            <w:tcW w:w="851"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三方互动服务量</w:t>
            </w:r>
          </w:p>
        </w:tc>
        <w:tc>
          <w:tcPr>
            <w:tcW w:w="851"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音视频互动发起量</w:t>
            </w:r>
          </w:p>
        </w:tc>
        <w:tc>
          <w:tcPr>
            <w:tcW w:w="851" w:type="dxa"/>
            <w:shd w:val="clear" w:color="auto" w:fill="66CCFF"/>
            <w:noWrap/>
          </w:tcPr>
          <w:p>
            <w:pPr>
              <w:spacing w:line="360" w:lineRule="exact"/>
              <w:jc w:val="center"/>
              <w:rPr>
                <w:rFonts w:ascii="黑体" w:hAnsi="黑体" w:eastAsia="黑体" w:cs="仿宋_GB2312"/>
                <w:sz w:val="24"/>
                <w:szCs w:val="24"/>
              </w:rPr>
            </w:pPr>
            <w:r>
              <w:rPr>
                <w:rFonts w:hint="eastAsia" w:ascii="黑体" w:hAnsi="黑体" w:eastAsia="黑体" w:cs="仿宋_GB2312"/>
                <w:sz w:val="24"/>
                <w:szCs w:val="24"/>
              </w:rPr>
              <w:t>远程协助发起量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50"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739</w:t>
            </w:r>
          </w:p>
        </w:tc>
        <w:tc>
          <w:tcPr>
            <w:tcW w:w="851"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733</w:t>
            </w:r>
          </w:p>
        </w:tc>
        <w:tc>
          <w:tcPr>
            <w:tcW w:w="863"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51"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719</w:t>
            </w:r>
          </w:p>
        </w:tc>
        <w:tc>
          <w:tcPr>
            <w:tcW w:w="936"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99.31%</w:t>
            </w:r>
          </w:p>
        </w:tc>
        <w:tc>
          <w:tcPr>
            <w:tcW w:w="936"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99.04%</w:t>
            </w:r>
          </w:p>
        </w:tc>
        <w:tc>
          <w:tcPr>
            <w:tcW w:w="851"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505</w:t>
            </w:r>
          </w:p>
        </w:tc>
        <w:tc>
          <w:tcPr>
            <w:tcW w:w="851"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326</w:t>
            </w:r>
          </w:p>
        </w:tc>
        <w:tc>
          <w:tcPr>
            <w:tcW w:w="851"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851" w:type="dxa"/>
            <w:shd w:val="clear" w:color="auto" w:fill="E9F1F5"/>
            <w:noWrap/>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bl>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kern w:val="0"/>
          <w:sz w:val="32"/>
          <w:szCs w:val="32"/>
        </w:rPr>
        <w:t>83.33%的办结率背后，是更高效，更专业的征纳沟通体验，留言审核专人审核、回复模版统一、审核标准化，可实现“效率-规范-精准”的流程模式。</w:t>
      </w:r>
    </w:p>
    <w:p>
      <w:pPr>
        <w:pStyle w:val="2"/>
        <w:tabs>
          <w:tab w:val="left" w:pos="420"/>
        </w:tabs>
        <w:spacing w:line="560" w:lineRule="exact"/>
        <w:ind w:left="0" w:leftChars="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表5：兴安盟人工互动统计分析报表</w:t>
      </w:r>
    </w:p>
    <w:p>
      <w:pPr>
        <w:pStyle w:val="2"/>
        <w:tabs>
          <w:tab w:val="left" w:pos="420"/>
        </w:tabs>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以下将从互动来源，服务效率，多元服务等维度分析征纳互动情况，结合以上数据分析如下；</w:t>
      </w:r>
    </w:p>
    <w:p>
      <w:pPr>
        <w:pStyle w:val="2"/>
        <w:tabs>
          <w:tab w:val="left" w:pos="420"/>
        </w:tabs>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1.互动来源：纳税人主导，税务端补充。</w:t>
      </w:r>
    </w:p>
    <w:p>
      <w:pPr>
        <w:pStyle w:val="2"/>
        <w:tabs>
          <w:tab w:val="left" w:pos="420"/>
        </w:tabs>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税人人工互动发起量（733)占人工互动发起总量（739）的99.19%，说明人工互动需求主要来自纳税人，是纳税人主动寻找办税协助，政策咨询的重要渠道；税务人人工互动发起量（6）虽然少，但体现了税务机关主动触达纳税人的服务尝试（如政策推送，风险提醒），后续可探索扩大主动互动场景，前置解决纳税人潜在问题。</w:t>
      </w:r>
    </w:p>
    <w:p>
      <w:pPr>
        <w:pStyle w:val="2"/>
        <w:tabs>
          <w:tab w:val="left" w:pos="420"/>
        </w:tabs>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2.服务质效：高服务量与高成功率，保障互动质量。</w:t>
      </w:r>
    </w:p>
    <w:p>
      <w:pPr>
        <w:pStyle w:val="2"/>
        <w:tabs>
          <w:tab w:val="left" w:pos="420"/>
        </w:tabs>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工互动成功量719，服务占比99.31%，说明大部分发起的人工互动都得到了有效响应，服务承接能力强，能快速衔接纳税人需求。人工互动成功率99.04%，体现坐席人员专业素质较高，对纳税人问题解决率高，保障了征纳人工互动的价值，增强纳税人对办税服务的信任。</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3.多元服务：三方，音频等有探索，待拓展应用。</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方互动量326，音视频互动，远程协助发起量各为40，说明已经尝试多元互动形式，三方互动（跨部门，跨省市）有一定应用，音视频，远程协助是补充。但对比人工服务总量，多元服务占比低，可挖掘场景,比如复杂政策解决用音视频互动直观展示，跨省业务协作用三方互动，提升多元服务使用率。</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kern w:val="0"/>
          <w:sz w:val="32"/>
          <w:szCs w:val="32"/>
        </w:rPr>
        <w:t>整体而言，</w:t>
      </w:r>
      <w:r>
        <w:rPr>
          <w:rFonts w:hint="eastAsia" w:ascii="仿宋_GB2312" w:hAnsi="仿宋_GB2312" w:eastAsia="仿宋_GB2312" w:cs="仿宋_GB2312"/>
          <w:sz w:val="32"/>
          <w:szCs w:val="32"/>
        </w:rPr>
        <w:t>兴安盟征纳互动服务运营中心</w:t>
      </w:r>
      <w:r>
        <w:rPr>
          <w:rFonts w:hint="eastAsia" w:ascii="仿宋_GB2312" w:hAnsi="仿宋_GB2312" w:eastAsia="仿宋_GB2312" w:cs="仿宋_GB2312"/>
          <w:kern w:val="0"/>
          <w:sz w:val="32"/>
          <w:szCs w:val="32"/>
        </w:rPr>
        <w:t>已构建“高响应，高成功”的服务基础，未来可通过拓展主动服务，多元形式，进一步提升征纳互动的深度与广度，更好的适配纳税人需求。</w:t>
      </w:r>
    </w:p>
    <w:tbl>
      <w:tblPr>
        <w:tblStyle w:val="14"/>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679" w:type="dxa"/>
            <w:shd w:val="clear" w:color="auto" w:fill="66CCFF"/>
            <w:noWrap/>
          </w:tcPr>
          <w:p>
            <w:pPr>
              <w:pStyle w:val="2"/>
              <w:ind w:left="0" w:leftChars="0"/>
              <w:jc w:val="center"/>
              <w:rPr>
                <w:rFonts w:ascii="黑体" w:hAnsi="黑体" w:eastAsia="黑体" w:cs="仿宋_GB2312"/>
                <w:bCs/>
                <w:sz w:val="28"/>
                <w:szCs w:val="32"/>
              </w:rPr>
            </w:pPr>
            <w:r>
              <w:rPr>
                <w:rFonts w:hint="eastAsia" w:ascii="黑体" w:hAnsi="黑体" w:eastAsia="黑体" w:cs="仿宋_GB2312"/>
                <w:bCs/>
                <w:sz w:val="28"/>
                <w:szCs w:val="32"/>
              </w:rPr>
              <w:t>方式</w:t>
            </w:r>
          </w:p>
        </w:tc>
        <w:tc>
          <w:tcPr>
            <w:tcW w:w="4151" w:type="dxa"/>
            <w:shd w:val="clear" w:color="auto" w:fill="66CCFF"/>
            <w:noWrap/>
          </w:tcPr>
          <w:p>
            <w:pPr>
              <w:pStyle w:val="2"/>
              <w:ind w:left="0" w:leftChars="0"/>
              <w:jc w:val="center"/>
              <w:rPr>
                <w:rFonts w:ascii="黑体" w:hAnsi="黑体" w:eastAsia="黑体" w:cs="仿宋_GB2312"/>
                <w:bCs/>
                <w:sz w:val="28"/>
                <w:szCs w:val="32"/>
              </w:rPr>
            </w:pPr>
            <w:r>
              <w:rPr>
                <w:rFonts w:hint="eastAsia" w:ascii="黑体" w:hAnsi="黑体" w:eastAsia="黑体" w:cs="仿宋_GB2312"/>
                <w:bCs/>
                <w:sz w:val="28"/>
                <w:szCs w:val="32"/>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679" w:type="dxa"/>
            <w:shd w:val="clear" w:color="auto" w:fill="E9F1F5"/>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预约计划放号量</w:t>
            </w:r>
          </w:p>
        </w:tc>
        <w:tc>
          <w:tcPr>
            <w:tcW w:w="4151" w:type="dxa"/>
            <w:shd w:val="clear" w:color="auto" w:fill="E9F1F5"/>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679" w:type="dxa"/>
            <w:shd w:val="clear" w:color="auto" w:fill="FFFFFF"/>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预约互动发起量</w:t>
            </w:r>
          </w:p>
        </w:tc>
        <w:tc>
          <w:tcPr>
            <w:tcW w:w="4151" w:type="dxa"/>
            <w:shd w:val="clear" w:color="auto" w:fill="FFFFFF"/>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679" w:type="dxa"/>
            <w:shd w:val="clear" w:color="auto" w:fill="E9F1F5"/>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纳税人发起量</w:t>
            </w:r>
          </w:p>
        </w:tc>
        <w:tc>
          <w:tcPr>
            <w:tcW w:w="4151" w:type="dxa"/>
            <w:shd w:val="clear" w:color="auto" w:fill="E9F1F5"/>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79" w:type="dxa"/>
            <w:shd w:val="clear" w:color="auto" w:fill="FFFFFF"/>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税务人发起量</w:t>
            </w:r>
          </w:p>
        </w:tc>
        <w:tc>
          <w:tcPr>
            <w:tcW w:w="4151" w:type="dxa"/>
            <w:shd w:val="clear" w:color="auto" w:fill="FFFFFF"/>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79" w:type="dxa"/>
            <w:shd w:val="clear" w:color="auto" w:fill="E9F1F5"/>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预约取消量</w:t>
            </w:r>
          </w:p>
        </w:tc>
        <w:tc>
          <w:tcPr>
            <w:tcW w:w="4151" w:type="dxa"/>
            <w:shd w:val="clear" w:color="auto" w:fill="E9F1F5"/>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79" w:type="dxa"/>
            <w:shd w:val="clear" w:color="auto" w:fill="FFFFFF"/>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预约成功量</w:t>
            </w:r>
          </w:p>
        </w:tc>
        <w:tc>
          <w:tcPr>
            <w:tcW w:w="4151" w:type="dxa"/>
            <w:shd w:val="clear" w:color="auto" w:fill="FFFFFF"/>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79" w:type="dxa"/>
            <w:shd w:val="clear" w:color="auto" w:fill="E9F1F5"/>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预约成功率</w:t>
            </w:r>
          </w:p>
        </w:tc>
        <w:tc>
          <w:tcPr>
            <w:tcW w:w="4151" w:type="dxa"/>
            <w:shd w:val="clear" w:color="auto" w:fill="E9F1F5"/>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679" w:type="dxa"/>
            <w:shd w:val="clear" w:color="auto" w:fill="FFFFFF"/>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预约违约量</w:t>
            </w:r>
          </w:p>
        </w:tc>
        <w:tc>
          <w:tcPr>
            <w:tcW w:w="4151" w:type="dxa"/>
            <w:shd w:val="clear" w:color="auto" w:fill="FFFFFF"/>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679" w:type="dxa"/>
            <w:shd w:val="clear" w:color="auto" w:fill="E9F1F5"/>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预约违约率</w:t>
            </w:r>
          </w:p>
        </w:tc>
        <w:tc>
          <w:tcPr>
            <w:tcW w:w="4151" w:type="dxa"/>
            <w:shd w:val="clear" w:color="auto" w:fill="E9F1F5"/>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679" w:type="dxa"/>
            <w:shd w:val="clear" w:color="auto" w:fill="E9F1F5"/>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预约互动户数</w:t>
            </w:r>
          </w:p>
        </w:tc>
        <w:tc>
          <w:tcPr>
            <w:tcW w:w="4151" w:type="dxa"/>
            <w:shd w:val="clear" w:color="auto" w:fill="E9F1F5"/>
            <w:noWrap/>
            <w:vAlign w:val="center"/>
          </w:tcPr>
          <w:p>
            <w:pPr>
              <w:pStyle w:val="2"/>
              <w:ind w:left="0" w:left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bl>
    <w:p>
      <w:pPr>
        <w:pStyle w:val="2"/>
        <w:tabs>
          <w:tab w:val="left" w:pos="420"/>
        </w:tabs>
        <w:spacing w:line="560" w:lineRule="exact"/>
        <w:ind w:left="0" w:leftChars="0"/>
        <w:jc w:val="center"/>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表6：预约互动统计分析报表</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以上预约互动统计数据，反映出预约服务处于初期探索的阶段，存在供需匹配，流程体验等优化空间，以下将从服务现状，问题及优化方向分析：</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1.服务现状：供给充足，需求待激活。</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约计划放号量达1935，说明税务机关为预约互动预备了充足的服务资源，想通过预约模式，为纳税人提供更加精准的征纳互动服务（如复杂政策深度沟通，疑难业务协同处理）。但实际预约互动量仅为3，且均为纳税人发起，税务人未发起，反映预约服务的“知悉度低，使用率低”，大量预约资源闲置，服务潜力未释放。</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2.核心问题：参与度低，履约差，影响服务价值。</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预约成功率低（仅为33.33%），3次发起仅1次成功，存在两次违约，说明预约流程或服务体验存在不足。存在预约后沟通不畅（如未及时确认时间，服务内容），或纳税人对预约服务价值感知弱，临时放鸽子，也有可能预约流程繁琐，纳税人发起后遗忘，导致违约。</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税务端主动参与缺失.税务人发起量为0，意味着预约服务暂时停留在“纳税人被动求助”，未发挥税务机关“主动预约，精准服务”的优势，（如针对重点税源企业，涉税风险企业，预约开展政策辅导，风险提醒）服务模式单一。</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目前，预约服务是“待开垦”的服务领域，通过解决“没人用，用不好”的问题，把1935的放号量从“数字储备”到“服务增量”，能为征纳互动提供更精准，更有深度的沟通渠道，提升复杂涉税问题处理效率。</w:t>
      </w:r>
    </w:p>
    <w:tbl>
      <w:tblPr>
        <w:tblStyle w:val="14"/>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1609"/>
        <w:gridCol w:w="1609"/>
        <w:gridCol w:w="1610"/>
        <w:gridCol w:w="161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609" w:type="dxa"/>
            <w:shd w:val="clear" w:color="auto" w:fill="66CCFF"/>
            <w:noWrap/>
          </w:tcPr>
          <w:p>
            <w:pPr>
              <w:pStyle w:val="2"/>
              <w:spacing w:line="360" w:lineRule="exact"/>
              <w:ind w:left="0" w:leftChars="0"/>
              <w:jc w:val="center"/>
              <w:rPr>
                <w:rFonts w:ascii="黑体" w:hAnsi="黑体" w:eastAsia="黑体" w:cs="仿宋_GB2312"/>
                <w:bCs/>
                <w:sz w:val="24"/>
                <w:szCs w:val="28"/>
              </w:rPr>
            </w:pPr>
            <w:r>
              <w:rPr>
                <w:rFonts w:hint="eastAsia" w:ascii="黑体" w:hAnsi="黑体" w:eastAsia="黑体" w:cs="仿宋_GB2312"/>
                <w:bCs/>
                <w:sz w:val="24"/>
                <w:szCs w:val="28"/>
              </w:rPr>
              <w:t>省内区外线上协同互动发起数量</w:t>
            </w:r>
          </w:p>
        </w:tc>
        <w:tc>
          <w:tcPr>
            <w:tcW w:w="1609" w:type="dxa"/>
            <w:shd w:val="clear" w:color="auto" w:fill="66CCFF"/>
            <w:noWrap/>
          </w:tcPr>
          <w:p>
            <w:pPr>
              <w:pStyle w:val="2"/>
              <w:spacing w:line="360" w:lineRule="exact"/>
              <w:ind w:left="0" w:leftChars="0"/>
              <w:jc w:val="center"/>
              <w:rPr>
                <w:rFonts w:ascii="黑体" w:hAnsi="黑体" w:eastAsia="黑体" w:cs="仿宋_GB2312"/>
                <w:bCs/>
                <w:sz w:val="24"/>
                <w:szCs w:val="28"/>
              </w:rPr>
            </w:pPr>
            <w:r>
              <w:rPr>
                <w:rFonts w:hint="eastAsia" w:ascii="黑体" w:hAnsi="黑体" w:eastAsia="黑体" w:cs="仿宋_GB2312"/>
                <w:bCs/>
                <w:sz w:val="24"/>
                <w:szCs w:val="28"/>
              </w:rPr>
              <w:t>省内区外线下协同互动发起数量</w:t>
            </w:r>
          </w:p>
        </w:tc>
        <w:tc>
          <w:tcPr>
            <w:tcW w:w="1609" w:type="dxa"/>
            <w:shd w:val="clear" w:color="auto" w:fill="66CCFF"/>
            <w:noWrap/>
          </w:tcPr>
          <w:p>
            <w:pPr>
              <w:pStyle w:val="2"/>
              <w:spacing w:line="360" w:lineRule="exact"/>
              <w:ind w:left="0" w:leftChars="0"/>
              <w:jc w:val="center"/>
              <w:rPr>
                <w:rFonts w:ascii="黑体" w:hAnsi="黑体" w:eastAsia="黑体" w:cs="仿宋_GB2312"/>
                <w:bCs/>
                <w:sz w:val="24"/>
                <w:szCs w:val="28"/>
              </w:rPr>
            </w:pPr>
            <w:r>
              <w:rPr>
                <w:rFonts w:hint="eastAsia" w:ascii="黑体" w:hAnsi="黑体" w:eastAsia="黑体" w:cs="仿宋_GB2312"/>
                <w:bCs/>
                <w:sz w:val="24"/>
                <w:szCs w:val="28"/>
              </w:rPr>
              <w:t>跨省线上协同发起数量</w:t>
            </w:r>
          </w:p>
        </w:tc>
        <w:tc>
          <w:tcPr>
            <w:tcW w:w="1610" w:type="dxa"/>
            <w:shd w:val="clear" w:color="auto" w:fill="66CCFF"/>
            <w:noWrap/>
          </w:tcPr>
          <w:p>
            <w:pPr>
              <w:pStyle w:val="2"/>
              <w:spacing w:line="360" w:lineRule="exact"/>
              <w:ind w:left="0" w:leftChars="0"/>
              <w:jc w:val="center"/>
              <w:rPr>
                <w:rFonts w:ascii="黑体" w:hAnsi="黑体" w:eastAsia="黑体" w:cs="仿宋_GB2312"/>
                <w:bCs/>
                <w:sz w:val="24"/>
                <w:szCs w:val="28"/>
              </w:rPr>
            </w:pPr>
            <w:r>
              <w:rPr>
                <w:rFonts w:hint="eastAsia" w:ascii="黑体" w:hAnsi="黑体" w:eastAsia="黑体" w:cs="仿宋_GB2312"/>
                <w:bCs/>
                <w:sz w:val="24"/>
                <w:szCs w:val="28"/>
              </w:rPr>
              <w:t>跨省线上协同发起成功数量</w:t>
            </w:r>
          </w:p>
        </w:tc>
        <w:tc>
          <w:tcPr>
            <w:tcW w:w="1610" w:type="dxa"/>
            <w:shd w:val="clear" w:color="auto" w:fill="66CCFF"/>
            <w:noWrap/>
          </w:tcPr>
          <w:p>
            <w:pPr>
              <w:pStyle w:val="2"/>
              <w:spacing w:line="360" w:lineRule="exact"/>
              <w:ind w:left="0" w:leftChars="0"/>
              <w:jc w:val="center"/>
              <w:rPr>
                <w:rFonts w:ascii="黑体" w:hAnsi="黑体" w:eastAsia="黑体" w:cs="仿宋_GB2312"/>
                <w:bCs/>
                <w:sz w:val="24"/>
                <w:szCs w:val="28"/>
              </w:rPr>
            </w:pPr>
            <w:r>
              <w:rPr>
                <w:rFonts w:hint="eastAsia" w:ascii="黑体" w:hAnsi="黑体" w:eastAsia="黑体" w:cs="仿宋_GB2312"/>
                <w:bCs/>
                <w:sz w:val="24"/>
                <w:szCs w:val="28"/>
              </w:rPr>
              <w:t>跨省线下协同发起数量</w:t>
            </w:r>
          </w:p>
        </w:tc>
        <w:tc>
          <w:tcPr>
            <w:tcW w:w="1610" w:type="dxa"/>
            <w:shd w:val="clear" w:color="auto" w:fill="66CCFF"/>
            <w:noWrap/>
          </w:tcPr>
          <w:p>
            <w:pPr>
              <w:pStyle w:val="2"/>
              <w:spacing w:line="360" w:lineRule="exact"/>
              <w:ind w:left="0" w:leftChars="0"/>
              <w:jc w:val="center"/>
              <w:rPr>
                <w:rFonts w:ascii="黑体" w:hAnsi="黑体" w:eastAsia="黑体" w:cs="仿宋_GB2312"/>
                <w:bCs/>
                <w:sz w:val="24"/>
                <w:szCs w:val="28"/>
              </w:rPr>
            </w:pPr>
            <w:r>
              <w:rPr>
                <w:rFonts w:hint="eastAsia" w:ascii="黑体" w:hAnsi="黑体" w:eastAsia="黑体" w:cs="仿宋_GB2312"/>
                <w:bCs/>
                <w:sz w:val="24"/>
                <w:szCs w:val="28"/>
              </w:rPr>
              <w:t>跨省线下协同发起成功数量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609" w:type="dxa"/>
            <w:shd w:val="clear" w:color="auto" w:fill="E9F1F5"/>
            <w:noWrap/>
          </w:tcPr>
          <w:p>
            <w:pPr>
              <w:pStyle w:val="2"/>
              <w:spacing w:line="560" w:lineRule="exact"/>
              <w:ind w:left="0" w:leftChars="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26</w:t>
            </w:r>
          </w:p>
        </w:tc>
        <w:tc>
          <w:tcPr>
            <w:tcW w:w="1609" w:type="dxa"/>
            <w:shd w:val="clear" w:color="auto" w:fill="E9F1F5"/>
            <w:noWrap/>
          </w:tcPr>
          <w:p>
            <w:pPr>
              <w:pStyle w:val="2"/>
              <w:spacing w:line="560" w:lineRule="exact"/>
              <w:ind w:left="0" w:leftChars="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w:t>
            </w:r>
          </w:p>
        </w:tc>
        <w:tc>
          <w:tcPr>
            <w:tcW w:w="1609" w:type="dxa"/>
            <w:shd w:val="clear" w:color="auto" w:fill="E9F1F5"/>
            <w:noWrap/>
          </w:tcPr>
          <w:p>
            <w:pPr>
              <w:pStyle w:val="2"/>
              <w:spacing w:line="560" w:lineRule="exact"/>
              <w:ind w:left="0" w:leftChars="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6</w:t>
            </w:r>
          </w:p>
        </w:tc>
        <w:tc>
          <w:tcPr>
            <w:tcW w:w="1610" w:type="dxa"/>
            <w:shd w:val="clear" w:color="auto" w:fill="E9F1F5"/>
            <w:noWrap/>
          </w:tcPr>
          <w:p>
            <w:pPr>
              <w:pStyle w:val="2"/>
              <w:spacing w:line="560" w:lineRule="exact"/>
              <w:ind w:left="0" w:leftChars="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6</w:t>
            </w:r>
          </w:p>
        </w:tc>
        <w:tc>
          <w:tcPr>
            <w:tcW w:w="1610" w:type="dxa"/>
            <w:shd w:val="clear" w:color="auto" w:fill="E9F1F5"/>
            <w:noWrap/>
          </w:tcPr>
          <w:p>
            <w:pPr>
              <w:pStyle w:val="2"/>
              <w:spacing w:line="560" w:lineRule="exact"/>
              <w:ind w:left="0" w:leftChars="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20</w:t>
            </w:r>
          </w:p>
        </w:tc>
        <w:tc>
          <w:tcPr>
            <w:tcW w:w="1610" w:type="dxa"/>
            <w:shd w:val="clear" w:color="auto" w:fill="E9F1F5"/>
            <w:noWrap/>
          </w:tcPr>
          <w:p>
            <w:pPr>
              <w:pStyle w:val="2"/>
              <w:spacing w:line="560" w:lineRule="exact"/>
              <w:ind w:left="0" w:leftChars="0"/>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11</w:t>
            </w:r>
          </w:p>
        </w:tc>
      </w:tr>
    </w:tbl>
    <w:p>
      <w:pPr>
        <w:pStyle w:val="2"/>
        <w:tabs>
          <w:tab w:val="left" w:pos="420"/>
        </w:tabs>
        <w:spacing w:line="560" w:lineRule="exact"/>
        <w:ind w:left="0" w:leftChars="0"/>
        <w:jc w:val="center"/>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表7：跨区域协同发起数量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从跨区域协同发起数量的统计数据，可从不同协同类型来看：</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1.省内区外：线上协同互动发起量（26）远高于线下（2），说明省内跨区线上协同更活跃，可能因线上便捷，成本低。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2.跨省线上：协同发起数量（6）与成功数量（6）一致，表明省内线上协同发起后成功率100%，流程或衔接顺畅。</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3.跨省线下：发起数量（20）多于成功数量（11)，存在一定失败率，或许是线下协同涉及沟通，流程，资料传递等环节，易遇阻碍。</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kern w:val="0"/>
          <w:sz w:val="32"/>
          <w:szCs w:val="32"/>
        </w:rPr>
        <w:t>整体能反映不同跨区域，不同线上线下模式的协同发起及成果情况，助力分析优化协同流程。</w:t>
      </w:r>
    </w:p>
    <w:tbl>
      <w:tblPr>
        <w:tblStyle w:val="14"/>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4"/>
        <w:gridCol w:w="4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924" w:type="dxa"/>
            <w:shd w:val="clear" w:color="auto" w:fill="66CCFF"/>
            <w:noWrap/>
            <w:vAlign w:val="center"/>
          </w:tcPr>
          <w:p>
            <w:pPr>
              <w:jc w:val="center"/>
              <w:rPr>
                <w:rFonts w:ascii="黑体" w:hAnsi="黑体" w:eastAsia="黑体" w:cs="仿宋_GB2312"/>
                <w:bCs/>
                <w:sz w:val="28"/>
                <w:szCs w:val="28"/>
              </w:rPr>
            </w:pPr>
            <w:r>
              <w:rPr>
                <w:rFonts w:hint="eastAsia" w:ascii="黑体" w:hAnsi="黑体" w:eastAsia="黑体" w:cs="仿宋_GB2312"/>
                <w:bCs/>
                <w:sz w:val="28"/>
                <w:szCs w:val="28"/>
              </w:rPr>
              <w:t>邀请方式</w:t>
            </w:r>
          </w:p>
        </w:tc>
        <w:tc>
          <w:tcPr>
            <w:tcW w:w="4507" w:type="dxa"/>
            <w:shd w:val="clear" w:color="auto" w:fill="66CCFF"/>
            <w:noWrap/>
            <w:vAlign w:val="center"/>
          </w:tcPr>
          <w:p>
            <w:pPr>
              <w:ind w:firstLine="1960" w:firstLineChars="700"/>
              <w:jc w:val="center"/>
              <w:rPr>
                <w:rFonts w:ascii="黑体" w:hAnsi="黑体" w:eastAsia="黑体" w:cs="仿宋_GB2312"/>
                <w:bCs/>
                <w:sz w:val="28"/>
                <w:szCs w:val="28"/>
              </w:rPr>
            </w:pPr>
            <w:r>
              <w:rPr>
                <w:rFonts w:hint="eastAsia" w:ascii="黑体" w:hAnsi="黑体" w:eastAsia="黑体" w:cs="仿宋_GB2312"/>
                <w:bCs/>
                <w:sz w:val="28"/>
                <w:szCs w:val="28"/>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924" w:type="dxa"/>
            <w:shd w:val="clear" w:color="auto" w:fill="E9F1F5"/>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省内区外线上协同邀请次数</w:t>
            </w:r>
          </w:p>
        </w:tc>
        <w:tc>
          <w:tcPr>
            <w:tcW w:w="4507" w:type="dxa"/>
            <w:shd w:val="clear" w:color="auto" w:fill="E9F1F5"/>
            <w:noWrap/>
            <w:vAlign w:val="center"/>
          </w:tcPr>
          <w:p>
            <w:pPr>
              <w:ind w:firstLine="1680" w:firstLineChars="7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924" w:type="dxa"/>
            <w:shd w:val="clear" w:color="auto" w:fill="FFFFFF"/>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省内区外线上受邀次数</w:t>
            </w:r>
          </w:p>
        </w:tc>
        <w:tc>
          <w:tcPr>
            <w:tcW w:w="4507" w:type="dxa"/>
            <w:shd w:val="clear" w:color="auto" w:fill="FFFFFF"/>
            <w:noWrap/>
            <w:vAlign w:val="center"/>
          </w:tcPr>
          <w:p>
            <w:pPr>
              <w:ind w:firstLine="1680" w:firstLineChars="7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924" w:type="dxa"/>
            <w:shd w:val="clear" w:color="auto" w:fill="E9F1F5"/>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省内区外线下协同邀请次数</w:t>
            </w:r>
          </w:p>
        </w:tc>
        <w:tc>
          <w:tcPr>
            <w:tcW w:w="4507" w:type="dxa"/>
            <w:shd w:val="clear" w:color="auto" w:fill="E9F1F5"/>
            <w:noWrap/>
            <w:vAlign w:val="center"/>
          </w:tcPr>
          <w:p>
            <w:pPr>
              <w:ind w:firstLine="1680" w:firstLineChars="7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924" w:type="dxa"/>
            <w:shd w:val="clear" w:color="auto" w:fill="FFFFFF"/>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省内区外线下协同受邀次数</w:t>
            </w:r>
          </w:p>
        </w:tc>
        <w:tc>
          <w:tcPr>
            <w:tcW w:w="4507" w:type="dxa"/>
            <w:shd w:val="clear" w:color="auto" w:fill="FFFFFF"/>
            <w:noWrap/>
            <w:vAlign w:val="center"/>
          </w:tcPr>
          <w:p>
            <w:pPr>
              <w:ind w:firstLine="1680" w:firstLineChars="7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924" w:type="dxa"/>
            <w:shd w:val="clear" w:color="auto" w:fill="E9F1F5"/>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跨省线上协同邀请次数</w:t>
            </w:r>
          </w:p>
        </w:tc>
        <w:tc>
          <w:tcPr>
            <w:tcW w:w="4507" w:type="dxa"/>
            <w:shd w:val="clear" w:color="auto" w:fill="E9F1F5"/>
            <w:noWrap/>
            <w:vAlign w:val="center"/>
          </w:tcPr>
          <w:p>
            <w:pPr>
              <w:ind w:firstLine="1680" w:firstLineChars="7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924" w:type="dxa"/>
            <w:shd w:val="clear" w:color="auto" w:fill="FFFFFF"/>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跨省线上协同受邀次数</w:t>
            </w:r>
          </w:p>
        </w:tc>
        <w:tc>
          <w:tcPr>
            <w:tcW w:w="4507" w:type="dxa"/>
            <w:shd w:val="clear" w:color="auto" w:fill="FFFFFF"/>
            <w:noWrap/>
            <w:vAlign w:val="center"/>
          </w:tcPr>
          <w:p>
            <w:pPr>
              <w:ind w:firstLine="1680" w:firstLineChars="7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924" w:type="dxa"/>
            <w:shd w:val="clear" w:color="auto" w:fill="E9F1F5"/>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跨省线上协同受邀成功次数</w:t>
            </w:r>
          </w:p>
        </w:tc>
        <w:tc>
          <w:tcPr>
            <w:tcW w:w="4507" w:type="dxa"/>
            <w:shd w:val="clear" w:color="auto" w:fill="E9F1F5"/>
            <w:noWrap/>
            <w:vAlign w:val="center"/>
          </w:tcPr>
          <w:p>
            <w:pPr>
              <w:ind w:firstLine="1680" w:firstLineChars="7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924" w:type="dxa"/>
            <w:shd w:val="clear" w:color="auto" w:fill="FFFFFF"/>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跨省线下协同邀请次数</w:t>
            </w:r>
          </w:p>
        </w:tc>
        <w:tc>
          <w:tcPr>
            <w:tcW w:w="4507" w:type="dxa"/>
            <w:shd w:val="clear" w:color="auto" w:fill="FFFFFF"/>
            <w:noWrap/>
            <w:vAlign w:val="center"/>
          </w:tcPr>
          <w:p>
            <w:pPr>
              <w:ind w:firstLine="1680" w:firstLineChars="7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924" w:type="dxa"/>
            <w:shd w:val="clear" w:color="auto" w:fill="E9F1F5"/>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跨省线下协同受邀次数</w:t>
            </w:r>
          </w:p>
        </w:tc>
        <w:tc>
          <w:tcPr>
            <w:tcW w:w="4507" w:type="dxa"/>
            <w:shd w:val="clear" w:color="auto" w:fill="E9F1F5"/>
            <w:noWrap/>
            <w:vAlign w:val="center"/>
          </w:tcPr>
          <w:p>
            <w:pPr>
              <w:ind w:firstLine="1680" w:firstLineChars="7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924" w:type="dxa"/>
            <w:shd w:val="clear" w:color="auto" w:fill="E9F1F5"/>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跨省线下协同受邀成功次数</w:t>
            </w:r>
          </w:p>
        </w:tc>
        <w:tc>
          <w:tcPr>
            <w:tcW w:w="4507" w:type="dxa"/>
            <w:shd w:val="clear" w:color="auto" w:fill="E9F1F5"/>
            <w:noWrap/>
            <w:vAlign w:val="center"/>
          </w:tcPr>
          <w:p>
            <w:pPr>
              <w:ind w:firstLine="1680" w:firstLineChars="7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bl>
    <w:p>
      <w:pPr>
        <w:spacing w:line="560" w:lineRule="exact"/>
        <w:ind w:firstLine="2880" w:firstLineChars="900"/>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表8：跨区域协同次数</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从跨区域协同次数数据看，可分省内区外，跨省，线上线下维度分析:</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1.省内区外:线上协同（邀请33次，受邀40次）远多于线下（邀请2次，受邀2次），说明省内跨区协作依赖线上，线上沟通便捷，是主要协同渠道；线下因成本，效率等应用少。</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跨省：线上邀请11次，受邀45次且受邀成功45次，受邀成功无耗损，可能因线上协同流程成熟，数字化程度高，易达成；但发起邀请少，或因跨省主动协同需求弱，多是被动响应;线下邀请20次，受邀3次且成功3次，邀请与受邀差距大，线下协同难度高，受地域，资源，沟通成本制约；不过受邀成功无失败，说明一旦推进，流程相对可靠。</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整体，线上是跨区域协同主流，省内区外线上互动频繁，跨省线上被动协同多，线下开展难，可优化跨省线下协同机制，激发主动协同活力。</w:t>
      </w:r>
      <w:bookmarkStart w:id="4" w:name="_Toc29977"/>
    </w:p>
    <w:p>
      <w:pPr>
        <w:spacing w:line="560" w:lineRule="exact"/>
        <w:ind w:firstLine="640" w:firstLineChars="200"/>
        <w:rPr>
          <w:rFonts w:ascii="黑体" w:hAnsi="黑体" w:eastAsia="黑体" w:cs="黑体"/>
          <w:sz w:val="32"/>
          <w:szCs w:val="32"/>
        </w:rPr>
      </w:pPr>
      <w:r>
        <w:rPr>
          <w:rFonts w:hint="eastAsia" w:ascii="黑体" w:hAnsi="黑体" w:eastAsia="黑体" w:cs="黑体"/>
          <w:kern w:val="0"/>
          <w:sz w:val="32"/>
          <w:szCs w:val="32"/>
        </w:rPr>
        <w:t>二、</w:t>
      </w:r>
      <w:r>
        <w:rPr>
          <w:rFonts w:hint="eastAsia" w:ascii="黑体" w:hAnsi="黑体" w:eastAsia="黑体" w:cs="黑体"/>
          <w:sz w:val="32"/>
          <w:szCs w:val="32"/>
        </w:rPr>
        <w:t>税费协同热线（六月电话热线）</w:t>
      </w:r>
      <w:bookmarkEnd w:id="4"/>
    </w:p>
    <w:p>
      <w:pPr>
        <w:pStyle w:val="4"/>
        <w:spacing w:before="0" w:after="0" w:line="560" w:lineRule="exact"/>
        <w:ind w:firstLine="640" w:firstLineChars="200"/>
        <w:rPr>
          <w:rFonts w:ascii="楷体_GB2312" w:hAnsi="楷体_GB2312" w:eastAsia="楷体_GB2312" w:cs="楷体_GB2312"/>
        </w:rPr>
      </w:pPr>
      <w:bookmarkStart w:id="5" w:name="_Toc28233"/>
      <w:r>
        <w:rPr>
          <w:rFonts w:hint="eastAsia" w:ascii="楷体_GB2312" w:hAnsi="楷体_GB2312" w:eastAsia="楷体_GB2312" w:cs="楷体_GB2312"/>
          <w:b w:val="0"/>
        </w:rPr>
        <w:t>（一）</w:t>
      </w:r>
      <w:r>
        <w:rPr>
          <w:rFonts w:hint="eastAsia" w:ascii="楷体_GB2312" w:hAnsi="楷体_GB2312" w:eastAsia="楷体_GB2312" w:cs="楷体_GB2312"/>
          <w:b w:val="0"/>
          <w:kern w:val="44"/>
        </w:rPr>
        <w:t>总体服务情况</w:t>
      </w:r>
      <w:bookmarkEnd w:id="5"/>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743"/>
        <w:gridCol w:w="992"/>
        <w:gridCol w:w="992"/>
        <w:gridCol w:w="851"/>
        <w:gridCol w:w="708"/>
        <w:gridCol w:w="851"/>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92" w:type="dxa"/>
            <w:shd w:val="clear" w:color="auto" w:fill="66CCFF"/>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全盟合计</w:t>
            </w:r>
          </w:p>
        </w:tc>
        <w:tc>
          <w:tcPr>
            <w:tcW w:w="743" w:type="dxa"/>
            <w:shd w:val="clear" w:color="auto" w:fill="66CCFF"/>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乌市</w:t>
            </w:r>
          </w:p>
        </w:tc>
        <w:tc>
          <w:tcPr>
            <w:tcW w:w="992" w:type="dxa"/>
            <w:shd w:val="clear" w:color="auto" w:fill="66CCFF"/>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阿尔山</w:t>
            </w:r>
          </w:p>
        </w:tc>
        <w:tc>
          <w:tcPr>
            <w:tcW w:w="992" w:type="dxa"/>
            <w:shd w:val="clear" w:color="auto" w:fill="66CCFF"/>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前旗局</w:t>
            </w:r>
          </w:p>
        </w:tc>
        <w:tc>
          <w:tcPr>
            <w:tcW w:w="851" w:type="dxa"/>
            <w:shd w:val="clear" w:color="auto" w:fill="66CCFF"/>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扎旗</w:t>
            </w:r>
          </w:p>
        </w:tc>
        <w:tc>
          <w:tcPr>
            <w:tcW w:w="708" w:type="dxa"/>
            <w:shd w:val="clear" w:color="auto" w:fill="66CCFF"/>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突泉</w:t>
            </w:r>
          </w:p>
        </w:tc>
        <w:tc>
          <w:tcPr>
            <w:tcW w:w="851" w:type="dxa"/>
            <w:shd w:val="clear" w:color="auto" w:fill="66CCFF"/>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中旗</w:t>
            </w:r>
          </w:p>
        </w:tc>
        <w:tc>
          <w:tcPr>
            <w:tcW w:w="992" w:type="dxa"/>
            <w:shd w:val="clear" w:color="auto" w:fill="66CCFF"/>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开发区</w:t>
            </w:r>
          </w:p>
        </w:tc>
        <w:tc>
          <w:tcPr>
            <w:tcW w:w="992" w:type="dxa"/>
            <w:shd w:val="clear" w:color="auto" w:fill="66CCFF"/>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二分局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92" w:type="dxa"/>
            <w:shd w:val="clear" w:color="auto" w:fill="E9F1F5"/>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6911</w:t>
            </w:r>
          </w:p>
        </w:tc>
        <w:tc>
          <w:tcPr>
            <w:tcW w:w="743" w:type="dxa"/>
            <w:shd w:val="clear" w:color="auto" w:fill="E9F1F5"/>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1572</w:t>
            </w:r>
          </w:p>
        </w:tc>
        <w:tc>
          <w:tcPr>
            <w:tcW w:w="992" w:type="dxa"/>
            <w:shd w:val="clear" w:color="auto" w:fill="E9F1F5"/>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731</w:t>
            </w:r>
          </w:p>
        </w:tc>
        <w:tc>
          <w:tcPr>
            <w:tcW w:w="992" w:type="dxa"/>
            <w:shd w:val="clear" w:color="auto" w:fill="E9F1F5"/>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689</w:t>
            </w:r>
          </w:p>
        </w:tc>
        <w:tc>
          <w:tcPr>
            <w:tcW w:w="851" w:type="dxa"/>
            <w:shd w:val="clear" w:color="auto" w:fill="E9F1F5"/>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1245</w:t>
            </w:r>
          </w:p>
        </w:tc>
        <w:tc>
          <w:tcPr>
            <w:tcW w:w="708" w:type="dxa"/>
            <w:shd w:val="clear" w:color="auto" w:fill="E9F1F5"/>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952</w:t>
            </w:r>
          </w:p>
        </w:tc>
        <w:tc>
          <w:tcPr>
            <w:tcW w:w="851" w:type="dxa"/>
            <w:shd w:val="clear" w:color="auto" w:fill="E9F1F5"/>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782</w:t>
            </w:r>
          </w:p>
        </w:tc>
        <w:tc>
          <w:tcPr>
            <w:tcW w:w="992" w:type="dxa"/>
            <w:shd w:val="clear" w:color="auto" w:fill="E9F1F5"/>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486</w:t>
            </w:r>
          </w:p>
        </w:tc>
        <w:tc>
          <w:tcPr>
            <w:tcW w:w="992" w:type="dxa"/>
            <w:shd w:val="clear" w:color="auto" w:fill="E9F1F5"/>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454</w:t>
            </w:r>
          </w:p>
        </w:tc>
      </w:tr>
    </w:tbl>
    <w:p>
      <w:pPr>
        <w:spacing w:line="560" w:lineRule="exact"/>
        <w:ind w:firstLine="2880" w:firstLineChars="900"/>
        <w:rPr>
          <w:rFonts w:ascii="仿宋_GB2312" w:hAnsi="仿宋_GB2312" w:eastAsia="仿宋_GB2312" w:cs="仿宋_GB2312"/>
        </w:rPr>
      </w:pPr>
      <w:bookmarkStart w:id="6" w:name="_Toc13789"/>
      <w:r>
        <w:rPr>
          <w:rFonts w:hint="eastAsia" w:ascii="楷体_GB2312" w:hAnsi="楷体_GB2312" w:eastAsia="楷体_GB2312" w:cs="楷体_GB2312"/>
          <w:sz w:val="32"/>
          <w:szCs w:val="32"/>
        </w:rPr>
        <w:t>表9：各旗县局热线电话数据</w:t>
      </w:r>
    </w:p>
    <w:p>
      <w:pPr>
        <w:pStyle w:val="4"/>
        <w:spacing w:before="0" w:after="0" w:line="560" w:lineRule="exact"/>
        <w:ind w:firstLine="640" w:firstLineChars="200"/>
        <w:rPr>
          <w:rFonts w:ascii="楷体_GB2312" w:hAnsi="楷体_GB2312" w:eastAsia="楷体_GB2312" w:cs="楷体_GB2312"/>
          <w:b w:val="0"/>
        </w:rPr>
      </w:pPr>
      <w:r>
        <w:rPr>
          <w:rFonts w:hint="eastAsia" w:ascii="楷体_GB2312" w:hAnsi="楷体_GB2312" w:eastAsia="楷体_GB2312" w:cs="楷体_GB2312"/>
          <w:b w:val="0"/>
        </w:rPr>
        <w:t>（二）咨询电话分析</w:t>
      </w:r>
      <w:bookmarkEnd w:id="6"/>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以下从不同维度基于电话数量做涉税问题分析</w:t>
      </w:r>
    </w:p>
    <w:p>
      <w:pPr>
        <w:tabs>
          <w:tab w:val="left" w:pos="540"/>
        </w:tabs>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1.整体业务量维度</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各单位电话数量差异明显，乌市局（1572通）扎旗局（1245通）电话量靠前，反映其辖区內涉税业务活跃度高，可能存在企业数量量，业务复杂等情况，需重点关注其辖区内的高频业务，如发票调额管理，申报疑难，但也需要考量是否是涉税咨询渠道单一，或者纳税人缴费人观念固化；开发区分局（486通）、二分局（454通）电话数量少，可分析是否因征管范围企业规模小，业务简单或宣传辅导到位降低咨询量。</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2.区域比对维度</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对比阿尔山（731通）、前旗局（689通），前者电话量稍高，可挖掘区域产业差异（如阿尔山有旅游产业属性），突泉局（952）、中旗局（782通），突泉局咨询多，排查是否政策理解难度大，征管流程有堵点，针对性优化辅导。</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3.潜在风险维度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对比阿尔山（电话量高的单位，高咨询背后可能隐藏共性风险，如乌市局若常咨询“进项税额抵扣”争议，需核查企业是否存在违规抵扣；扎旗局若常咨询“股权转让个税”，需关注辖区内股权交易合规性，提前接入风险防控。</w:t>
      </w:r>
    </w:p>
    <w:p>
      <w:pPr>
        <w:pStyle w:val="3"/>
        <w:spacing w:before="0" w:after="0" w:line="560" w:lineRule="exact"/>
        <w:ind w:firstLine="640" w:firstLineChars="200"/>
        <w:rPr>
          <w:rFonts w:ascii="楷体_GB2312" w:hAnsi="楷体_GB2312" w:eastAsia="楷体_GB2312" w:cs="楷体_GB2312"/>
          <w:b w:val="0"/>
          <w:kern w:val="2"/>
          <w:sz w:val="32"/>
          <w:szCs w:val="32"/>
        </w:rPr>
      </w:pPr>
      <w:bookmarkStart w:id="7" w:name="_Toc17953"/>
      <w:r>
        <w:rPr>
          <w:rFonts w:hint="eastAsia" w:ascii="楷体_GB2312" w:hAnsi="楷体_GB2312" w:eastAsia="楷体_GB2312" w:cs="楷体_GB2312"/>
          <w:b w:val="0"/>
          <w:kern w:val="2"/>
          <w:sz w:val="32"/>
          <w:szCs w:val="32"/>
        </w:rPr>
        <w:t>（三）涉税投诉举报情况</w:t>
      </w:r>
      <w:bookmarkEnd w:id="7"/>
    </w:p>
    <w:tbl>
      <w:tblPr>
        <w:tblStyle w:val="14"/>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965"/>
        <w:gridCol w:w="964"/>
        <w:gridCol w:w="965"/>
        <w:gridCol w:w="918"/>
        <w:gridCol w:w="871"/>
        <w:gridCol w:w="978"/>
        <w:gridCol w:w="961"/>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5" w:hRule="atLeast"/>
        </w:trPr>
        <w:tc>
          <w:tcPr>
            <w:tcW w:w="1495" w:type="dxa"/>
            <w:shd w:val="clear" w:color="auto" w:fill="66CCFF"/>
          </w:tcPr>
          <w:p>
            <w:pPr>
              <w:spacing w:line="560" w:lineRule="exact"/>
              <w:ind w:firstLine="640" w:firstLineChars="200"/>
              <w:rPr>
                <w:rFonts w:ascii="黑体" w:hAnsi="黑体" w:eastAsia="黑体" w:cs="仿宋_GB2312"/>
                <w:sz w:val="24"/>
                <w:szCs w:val="24"/>
              </w:rPr>
            </w:pPr>
            <w:r>
              <w:rPr>
                <w:rFonts w:hint="eastAsia" w:ascii="黑体" w:hAnsi="黑体" w:eastAsia="黑体" w:cs="楷体_GB2312"/>
                <w:sz w:val="32"/>
                <w:szCs w:val="32"/>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29845</wp:posOffset>
                      </wp:positionV>
                      <wp:extent cx="942975" cy="685800"/>
                      <wp:effectExtent l="0" t="0" r="28575" b="19050"/>
                      <wp:wrapNone/>
                      <wp:docPr id="10" name="直接连接符 10"/>
                      <wp:cNvGraphicFramePr/>
                      <a:graphic xmlns:a="http://schemas.openxmlformats.org/drawingml/2006/main">
                        <a:graphicData uri="http://schemas.microsoft.com/office/word/2010/wordprocessingShape">
                          <wps:wsp>
                            <wps:cNvCnPr/>
                            <wps:spPr>
                              <a:xfrm>
                                <a:off x="0" y="0"/>
                                <a:ext cx="942975"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pt;margin-top:2.35pt;height:54pt;width:74.25pt;z-index:251660288;mso-width-relative:page;mso-height-relative:page;" filled="f" stroked="t" coordsize="21600,21600" o:gfxdata="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X669bW&#10;AAAACAEAAA8AAAAAAAAAAQAgAAAAIgAAAGRycy9kb3ducmV2LnhtbFBLAQIUABQAAAAIAIdO4kC4&#10;luXp6QEAALcDAAAOAAAAAAAAAAEAIAAAACUBAABkcnMvZTJvRG9jLnhtbFBLBQYAAAAABgAGAFkB&#10;AACABQAAAAA=&#10;">
                      <v:fill on="f" focussize="0,0"/>
                      <v:stroke weight="0.5pt" color="#000000 [3200]" miterlimit="8" joinstyle="miter"/>
                      <v:imagedata o:title=""/>
                      <o:lock v:ext="edit" aspectratio="f"/>
                    </v:line>
                  </w:pict>
                </mc:Fallback>
              </mc:AlternateContent>
            </w:r>
            <w:r>
              <w:rPr>
                <w:rFonts w:hint="eastAsia" w:ascii="黑体" w:hAnsi="黑体" w:eastAsia="黑体" w:cs="仿宋_GB2312"/>
                <w:sz w:val="24"/>
                <w:szCs w:val="24"/>
              </w:rPr>
              <w:t>单位</w:t>
            </w:r>
          </w:p>
          <w:p>
            <w:pPr>
              <w:spacing w:line="560" w:lineRule="exact"/>
              <w:rPr>
                <w:rFonts w:ascii="黑体" w:hAnsi="黑体" w:eastAsia="黑体" w:cs="仿宋_GB2312"/>
                <w:sz w:val="24"/>
                <w:szCs w:val="24"/>
              </w:rPr>
            </w:pPr>
            <w:r>
              <w:rPr>
                <w:rFonts w:hint="eastAsia" w:ascii="黑体" w:hAnsi="黑体" w:eastAsia="黑体" w:cs="仿宋_GB2312"/>
                <w:sz w:val="24"/>
                <w:szCs w:val="24"/>
              </w:rPr>
              <w:t>渠道</w:t>
            </w:r>
          </w:p>
        </w:tc>
        <w:tc>
          <w:tcPr>
            <w:tcW w:w="965"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乌市局</w:t>
            </w:r>
          </w:p>
        </w:tc>
        <w:tc>
          <w:tcPr>
            <w:tcW w:w="964"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阿尔山</w:t>
            </w:r>
          </w:p>
        </w:tc>
        <w:tc>
          <w:tcPr>
            <w:tcW w:w="965"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前旗局</w:t>
            </w:r>
          </w:p>
        </w:tc>
        <w:tc>
          <w:tcPr>
            <w:tcW w:w="918"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扎旗</w:t>
            </w:r>
          </w:p>
        </w:tc>
        <w:tc>
          <w:tcPr>
            <w:tcW w:w="871"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突泉</w:t>
            </w:r>
          </w:p>
        </w:tc>
        <w:tc>
          <w:tcPr>
            <w:tcW w:w="978"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中旗</w:t>
            </w:r>
          </w:p>
        </w:tc>
        <w:tc>
          <w:tcPr>
            <w:tcW w:w="961"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开发区</w:t>
            </w:r>
          </w:p>
        </w:tc>
        <w:tc>
          <w:tcPr>
            <w:tcW w:w="961"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二分局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95" w:type="dxa"/>
            <w:shd w:val="clear" w:color="auto" w:fill="E9F1F5"/>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12345</w:t>
            </w:r>
          </w:p>
        </w:tc>
        <w:tc>
          <w:tcPr>
            <w:tcW w:w="965" w:type="dxa"/>
            <w:shd w:val="clear" w:color="auto" w:fill="E9F1F5"/>
          </w:tcPr>
          <w:p>
            <w:pPr>
              <w:pStyle w:val="2"/>
              <w:spacing w:line="560" w:lineRule="exact"/>
              <w:ind w:left="0" w:leftChars="0"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64" w:type="dxa"/>
            <w:shd w:val="clear" w:color="auto" w:fill="E9F1F5"/>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65" w:type="dxa"/>
            <w:shd w:val="clear" w:color="auto" w:fill="E9F1F5"/>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8" w:type="dxa"/>
            <w:shd w:val="clear" w:color="auto" w:fill="E9F1F5"/>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71" w:type="dxa"/>
            <w:shd w:val="clear" w:color="auto" w:fill="E9F1F5"/>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78" w:type="dxa"/>
            <w:shd w:val="clear" w:color="auto" w:fill="E9F1F5"/>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61" w:type="dxa"/>
            <w:shd w:val="clear" w:color="auto" w:fill="E9F1F5"/>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61" w:type="dxa"/>
            <w:shd w:val="clear" w:color="auto" w:fill="E9F1F5"/>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95" w:type="dxa"/>
            <w:shd w:val="clear" w:color="auto" w:fill="FFFFFF"/>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12366</w:t>
            </w:r>
          </w:p>
        </w:tc>
        <w:tc>
          <w:tcPr>
            <w:tcW w:w="965" w:type="dxa"/>
            <w:shd w:val="clear" w:color="auto" w:fill="FFFFFF"/>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64" w:type="dxa"/>
            <w:shd w:val="clear" w:color="auto" w:fill="FFFFFF"/>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65" w:type="dxa"/>
            <w:shd w:val="clear" w:color="auto" w:fill="FFFFFF"/>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8" w:type="dxa"/>
            <w:shd w:val="clear" w:color="auto" w:fill="FFFFFF"/>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71" w:type="dxa"/>
            <w:shd w:val="clear" w:color="auto" w:fill="FFFFFF"/>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78" w:type="dxa"/>
            <w:shd w:val="clear" w:color="auto" w:fill="FFFFFF"/>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61" w:type="dxa"/>
            <w:shd w:val="clear" w:color="auto" w:fill="FFFFFF"/>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61" w:type="dxa"/>
            <w:shd w:val="clear" w:color="auto" w:fill="FFFFFF"/>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pPr>
        <w:pStyle w:val="3"/>
        <w:spacing w:before="0" w:after="0" w:line="560" w:lineRule="exact"/>
        <w:jc w:val="center"/>
        <w:rPr>
          <w:rFonts w:ascii="仿宋_GB2312" w:hAnsi="仿宋_GB2312" w:eastAsia="仿宋_GB2312" w:cs="仿宋_GB2312"/>
          <w:b w:val="0"/>
          <w:bCs w:val="0"/>
          <w:kern w:val="2"/>
          <w:sz w:val="32"/>
          <w:szCs w:val="32"/>
        </w:rPr>
      </w:pPr>
      <w:bookmarkStart w:id="8" w:name="_Toc7942"/>
      <w:bookmarkStart w:id="9" w:name="_Toc31543"/>
      <w:r>
        <w:rPr>
          <w:rFonts w:hint="eastAsia" w:ascii="楷体_GB2312" w:hAnsi="楷体_GB2312" w:eastAsia="楷体_GB2312" w:cs="楷体_GB2312"/>
          <w:b w:val="0"/>
          <w:bCs w:val="0"/>
          <w:kern w:val="2"/>
          <w:sz w:val="32"/>
          <w:szCs w:val="32"/>
        </w:rPr>
        <w:t>表10：涉税业务投诉举报（税务机关）</w:t>
      </w:r>
      <w:bookmarkEnd w:id="8"/>
    </w:p>
    <w:bookmarkEnd w:id="9"/>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963"/>
        <w:gridCol w:w="962"/>
        <w:gridCol w:w="963"/>
        <w:gridCol w:w="916"/>
        <w:gridCol w:w="870"/>
        <w:gridCol w:w="976"/>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shd w:val="clear" w:color="auto" w:fill="66CCFF"/>
          </w:tcPr>
          <w:p>
            <w:pPr>
              <w:spacing w:line="560" w:lineRule="exact"/>
              <w:ind w:firstLine="720" w:firstLineChars="300"/>
              <w:rPr>
                <w:rFonts w:ascii="黑体" w:hAnsi="黑体" w:eastAsia="黑体" w:cs="仿宋_GB2312"/>
                <w:sz w:val="24"/>
                <w:szCs w:val="24"/>
              </w:rPr>
            </w:pPr>
            <w:r>
              <w:rPr>
                <w:rFonts w:ascii="黑体" w:hAnsi="黑体" w:eastAsia="黑体"/>
                <w:sz w:val="24"/>
                <w:szCs w:val="24"/>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13335</wp:posOffset>
                      </wp:positionV>
                      <wp:extent cx="942975" cy="695325"/>
                      <wp:effectExtent l="2540" t="3810" r="6985" b="5715"/>
                      <wp:wrapNone/>
                      <wp:docPr id="24" name="直接连接符 24"/>
                      <wp:cNvGraphicFramePr/>
                      <a:graphic xmlns:a="http://schemas.openxmlformats.org/drawingml/2006/main">
                        <a:graphicData uri="http://schemas.microsoft.com/office/word/2010/wordprocessingShape">
                          <wps:wsp>
                            <wps:cNvCnPr/>
                            <wps:spPr>
                              <a:xfrm>
                                <a:off x="956310" y="8973820"/>
                                <a:ext cx="942975" cy="695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pt;margin-top:1.05pt;height:54.75pt;width:74.25pt;z-index:251659264;mso-width-relative:page;mso-height-relative:page;" filled="f" stroked="t" coordsize="21600,21600" o:gfxdata="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cYO02AAAAAgBAAAPAAAAAAAAAAEAIAAAACIAAABkcnMvZG93bnJldi54&#10;bWxQSwECFAAUAAAACACHTuJA3WKa/voBAADCAwAADgAAAAAAAAABACAAAAAnAQAAZHJzL2Uyb0Rv&#10;Yy54bWxQSwUGAAAAAAYABgBZAQAAkwUAAAAA&#10;">
                      <v:fill on="f" focussize="0,0"/>
                      <v:stroke weight="0.5pt" color="#5B9BD5 [3204]" miterlimit="8" joinstyle="miter"/>
                      <v:imagedata o:title=""/>
                      <o:lock v:ext="edit" aspectratio="f"/>
                    </v:line>
                  </w:pict>
                </mc:Fallback>
              </mc:AlternateContent>
            </w:r>
            <w:r>
              <w:rPr>
                <w:rFonts w:hint="eastAsia" w:ascii="黑体" w:hAnsi="黑体" w:eastAsia="黑体" w:cs="仿宋_GB2312"/>
                <w:sz w:val="24"/>
                <w:szCs w:val="24"/>
              </w:rPr>
              <w:t>单位</w:t>
            </w:r>
          </w:p>
          <w:p>
            <w:pPr>
              <w:spacing w:line="560" w:lineRule="exact"/>
              <w:rPr>
                <w:rFonts w:ascii="黑体" w:hAnsi="黑体" w:eastAsia="黑体" w:cs="仿宋_GB2312"/>
                <w:sz w:val="24"/>
                <w:szCs w:val="24"/>
              </w:rPr>
            </w:pPr>
            <w:r>
              <w:rPr>
                <w:rFonts w:hint="eastAsia" w:ascii="黑体" w:hAnsi="黑体" w:eastAsia="黑体" w:cs="仿宋_GB2312"/>
                <w:sz w:val="24"/>
                <w:szCs w:val="24"/>
              </w:rPr>
              <w:t>渠道</w:t>
            </w:r>
          </w:p>
        </w:tc>
        <w:tc>
          <w:tcPr>
            <w:tcW w:w="963"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乌市</w:t>
            </w:r>
          </w:p>
        </w:tc>
        <w:tc>
          <w:tcPr>
            <w:tcW w:w="962"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阿尔山</w:t>
            </w:r>
          </w:p>
        </w:tc>
        <w:tc>
          <w:tcPr>
            <w:tcW w:w="963"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前旗局</w:t>
            </w:r>
          </w:p>
        </w:tc>
        <w:tc>
          <w:tcPr>
            <w:tcW w:w="916"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扎旗</w:t>
            </w:r>
          </w:p>
        </w:tc>
        <w:tc>
          <w:tcPr>
            <w:tcW w:w="870"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突泉</w:t>
            </w:r>
          </w:p>
        </w:tc>
        <w:tc>
          <w:tcPr>
            <w:tcW w:w="976"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中旗</w:t>
            </w:r>
          </w:p>
        </w:tc>
        <w:tc>
          <w:tcPr>
            <w:tcW w:w="959"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开发区</w:t>
            </w:r>
          </w:p>
        </w:tc>
        <w:tc>
          <w:tcPr>
            <w:tcW w:w="959" w:type="dxa"/>
            <w:shd w:val="clear" w:color="auto" w:fill="66CCFF"/>
            <w:vAlign w:val="center"/>
          </w:tcPr>
          <w:p>
            <w:pPr>
              <w:spacing w:line="560" w:lineRule="exact"/>
              <w:jc w:val="center"/>
              <w:rPr>
                <w:rFonts w:ascii="黑体" w:hAnsi="黑体" w:eastAsia="黑体" w:cs="仿宋_GB2312"/>
                <w:sz w:val="24"/>
                <w:szCs w:val="24"/>
              </w:rPr>
            </w:pPr>
            <w:r>
              <w:rPr>
                <w:rFonts w:hint="eastAsia" w:ascii="黑体" w:hAnsi="黑体" w:eastAsia="黑体" w:cs="仿宋_GB2312"/>
                <w:sz w:val="24"/>
                <w:szCs w:val="24"/>
              </w:rPr>
              <w:t>二分局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shd w:val="clear" w:color="auto" w:fill="E9F1F5"/>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12345</w:t>
            </w:r>
          </w:p>
        </w:tc>
        <w:tc>
          <w:tcPr>
            <w:tcW w:w="963" w:type="dxa"/>
            <w:shd w:val="clear" w:color="auto" w:fill="E9F1F5"/>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962" w:type="dxa"/>
            <w:shd w:val="clear" w:color="auto" w:fill="E9F1F5"/>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63" w:type="dxa"/>
            <w:shd w:val="clear" w:color="auto" w:fill="E9F1F5"/>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6" w:type="dxa"/>
            <w:shd w:val="clear" w:color="auto" w:fill="E9F1F5"/>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70" w:type="dxa"/>
            <w:shd w:val="clear" w:color="auto" w:fill="E9F1F5"/>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76" w:type="dxa"/>
            <w:shd w:val="clear" w:color="auto" w:fill="E9F1F5"/>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959" w:type="dxa"/>
            <w:shd w:val="clear" w:color="auto" w:fill="E9F1F5"/>
          </w:tcPr>
          <w:p>
            <w:pPr>
              <w:pStyle w:val="2"/>
              <w:spacing w:line="560" w:lineRule="exact"/>
              <w:ind w:left="0" w:leftChars="0"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959" w:type="dxa"/>
            <w:shd w:val="clear" w:color="auto" w:fill="E9F1F5"/>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shd w:val="clear" w:color="auto" w:fill="FFFFFF"/>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12366</w:t>
            </w:r>
          </w:p>
        </w:tc>
        <w:tc>
          <w:tcPr>
            <w:tcW w:w="963" w:type="dxa"/>
            <w:shd w:val="clear" w:color="auto" w:fill="FFFFFF"/>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62" w:type="dxa"/>
            <w:shd w:val="clear" w:color="auto" w:fill="FFFFFF"/>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63" w:type="dxa"/>
            <w:shd w:val="clear" w:color="auto" w:fill="FFFFFF"/>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16" w:type="dxa"/>
            <w:shd w:val="clear" w:color="auto" w:fill="FFFFFF"/>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70" w:type="dxa"/>
            <w:shd w:val="clear" w:color="auto" w:fill="FFFFFF"/>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76" w:type="dxa"/>
            <w:shd w:val="clear" w:color="auto" w:fill="FFFFFF"/>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959" w:type="dxa"/>
            <w:shd w:val="clear" w:color="auto" w:fill="FFFFFF"/>
          </w:tcPr>
          <w:p>
            <w:pPr>
              <w:spacing w:line="56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59" w:type="dxa"/>
            <w:shd w:val="clear" w:color="auto" w:fill="FFFFFF"/>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pPr>
        <w:pStyle w:val="3"/>
        <w:spacing w:before="0" w:after="0" w:line="560" w:lineRule="exact"/>
        <w:jc w:val="center"/>
        <w:rPr>
          <w:rFonts w:ascii="仿宋_GB2312" w:hAnsi="仿宋_GB2312" w:eastAsia="仿宋_GB2312" w:cs="仿宋_GB2312"/>
          <w:kern w:val="0"/>
          <w:sz w:val="32"/>
          <w:szCs w:val="32"/>
          <w:shd w:val="clear" w:color="auto" w:fill="FFFFFF"/>
        </w:rPr>
      </w:pPr>
      <w:r>
        <w:rPr>
          <w:rFonts w:hint="eastAsia" w:ascii="楷体_GB2312" w:hAnsi="楷体_GB2312" w:eastAsia="楷体_GB2312" w:cs="楷体_GB2312"/>
          <w:b w:val="0"/>
          <w:bCs w:val="0"/>
          <w:kern w:val="2"/>
          <w:sz w:val="32"/>
          <w:szCs w:val="32"/>
        </w:rPr>
        <w:t>表11：轻微违法行为举报（企业）</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基于涉税投诉举报情况简要分析如下</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1.涉税业务投诉举报（税务机关）</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对比从12345和12366两个渠道看，乌市局、阿尔山等8个税务机关，投诉举报数为0，说明这段时间税务机关自身涉税业务因服务、流程等引发的投诉举报极少，税务机关在涉税业务办理的服务质量、规范成都等方面，可能得到了相对较好的反馈，工作开展较为顺畅，未引发相关投诉举报舆情。</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2.轻微违法行为举报（企业）</w:t>
      </w:r>
    </w:p>
    <w:p>
      <w:pPr>
        <w:pStyle w:val="2"/>
        <w:spacing w:line="560" w:lineRule="exact"/>
        <w:ind w:left="0" w:leftChars="0" w:firstLine="640" w:firstLineChars="200"/>
        <w:rPr>
          <w:rFonts w:ascii="仿宋_GB2312" w:hAnsi="仿宋_GB2312" w:eastAsia="仿宋_GB2312" w:cs="仿宋_GB2312"/>
        </w:rPr>
      </w:pPr>
      <w:r>
        <w:rPr>
          <w:rFonts w:hint="eastAsia" w:ascii="仿宋_GB2312" w:hAnsi="仿宋_GB2312" w:eastAsia="仿宋_GB2312" w:cs="仿宋_GB2312"/>
          <w:kern w:val="0"/>
          <w:sz w:val="32"/>
          <w:szCs w:val="32"/>
          <w:shd w:val="clear" w:color="auto" w:fill="FFFFFF"/>
        </w:rPr>
        <w:t>（1）123456渠道</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乌市局：举报数21起，在各单位中数量突出，反映其辖区内企业通过12345渠道举报轻微违法行为较为集中，可能该区域企业间业务往来复杂，或秋叶对涉税轻微违法监督意识强，也可能存在部分企业违规现象值得关注。</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中旗局和开发区：分别为9起和11起，举报数量较多，说明这些区域企业对涉税轻微违法举报有一定积极性，或存在相应的涉税轻微违法举报有一定积极性，或存在相应的涉税轻微违规现象值得关注。</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扎旗局和二分局：分别有1起，表明有零星举报，反映局部存在企业认为的涉税轻微违法情况。</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阿尔山、前旗局、突泉局：举报数均为0，这些区域企业涉税轻微违法现象较少，或者企业举报意识相对薄弱。</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（2）12366渠道</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阿尔山和开发区：分别为2起和1起，说明这两个区域内有企业通过12366渠道举报，与12345渠道配合，反映不同区域企业选择渠道的差异，也体现涉税举报渠道的多元性。</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kern w:val="0"/>
          <w:sz w:val="32"/>
          <w:szCs w:val="32"/>
          <w:shd w:val="clear" w:color="auto" w:fill="FFFFFF"/>
        </w:rPr>
        <w:t>其余单位：均为0，说明12366渠道在这些税务机关辖区内，暂未恒伟企业举报的主要途径，或者相关轻微违法现象较少。</w:t>
      </w:r>
    </w:p>
    <w:p>
      <w:pPr>
        <w:pStyle w:val="3"/>
        <w:spacing w:before="0" w:after="0" w:line="560" w:lineRule="exact"/>
        <w:ind w:firstLine="640" w:firstLineChars="200"/>
        <w:rPr>
          <w:rFonts w:ascii="楷体_GB2312" w:hAnsi="楷体_GB2312" w:eastAsia="楷体_GB2312" w:cs="楷体_GB2312"/>
          <w:b w:val="0"/>
          <w:sz w:val="32"/>
          <w:szCs w:val="32"/>
        </w:rPr>
      </w:pPr>
      <w:bookmarkStart w:id="10" w:name="_Toc26166"/>
      <w:r>
        <w:rPr>
          <w:rFonts w:hint="eastAsia" w:ascii="黑体" w:hAnsi="黑体" w:eastAsia="黑体" w:cs="黑体"/>
          <w:b w:val="0"/>
          <w:sz w:val="32"/>
          <w:szCs w:val="32"/>
        </w:rPr>
        <w:t>三、热点问题</w:t>
      </w:r>
      <w:bookmarkEnd w:id="10"/>
    </w:p>
    <w:p>
      <w:pPr>
        <w:pStyle w:val="3"/>
        <w:spacing w:before="0" w:after="0" w:line="560" w:lineRule="exact"/>
        <w:ind w:firstLine="640" w:firstLineChars="200"/>
        <w:rPr>
          <w:rFonts w:ascii="楷体_GB2312" w:hAnsi="楷体_GB2312" w:eastAsia="楷体_GB2312" w:cs="楷体_GB2312"/>
          <w:b w:val="0"/>
          <w:bCs w:val="0"/>
          <w:kern w:val="0"/>
          <w:sz w:val="32"/>
          <w:szCs w:val="32"/>
        </w:rPr>
      </w:pPr>
      <w:bookmarkStart w:id="11" w:name="_Toc930274187"/>
      <w:bookmarkStart w:id="12" w:name="_Toc18932"/>
      <w:r>
        <w:rPr>
          <w:rFonts w:hint="eastAsia" w:ascii="楷体_GB2312" w:hAnsi="楷体_GB2312" w:eastAsia="楷体_GB2312" w:cs="楷体_GB2312"/>
          <w:b w:val="0"/>
          <w:bCs w:val="0"/>
          <w:kern w:val="0"/>
          <w:sz w:val="32"/>
          <w:szCs w:val="32"/>
        </w:rPr>
        <w:t>问题1：如何享受六税两费优惠政策？</w:t>
      </w:r>
      <w:bookmarkEnd w:id="11"/>
      <w:bookmarkEnd w:id="12"/>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答复：您好！</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增值税小规模纳税人、小型微利企业和个体工商户已依法享受资源税、城市维护建设税、房产税、城镇土地使用税、印花税、耕地占用税、教育费附加、地方教育附加等其他优惠政策的，可叠加享受规定的优惠政策。</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三、本公告所称小型微利企业，是指从事国家非限制和禁止行业，且同时符合年度应纳税所得额不超过300万元、从业人数不超过300人、资产总额不超过5000万元等三个条件的企业。</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从业人数，包括与企业建立劳动关系的职工人数和企业接受的劳务派遣用工人数。所称从业人数和资产总额指标，应按企业全年的季度平均值确定。具体计算公式如下：</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季度平均值＝（季初值＋季末值）÷2</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全年季度平均值＝全年各季度平均值之和÷4</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年度中间开业或者终止经营活动的，以其实际经营期作为一个纳税年度确定上述相关指标。</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减半的优惠政策。</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答复依据：财政部税务总局关于进一步支持小微企业和个体工商户发展有关税费政策的公告</w:t>
      </w:r>
    </w:p>
    <w:p>
      <w:pPr>
        <w:pStyle w:val="3"/>
        <w:spacing w:before="0" w:after="0" w:line="560" w:lineRule="exact"/>
        <w:ind w:firstLine="640" w:firstLineChars="200"/>
        <w:rPr>
          <w:rFonts w:ascii="楷体_GB2312" w:hAnsi="楷体_GB2312" w:eastAsia="楷体_GB2312" w:cs="楷体_GB2312"/>
          <w:b w:val="0"/>
          <w:bCs w:val="0"/>
          <w:kern w:val="0"/>
          <w:sz w:val="32"/>
          <w:szCs w:val="32"/>
        </w:rPr>
      </w:pPr>
      <w:bookmarkStart w:id="13" w:name="_Toc746793447"/>
      <w:bookmarkStart w:id="14" w:name="_Toc1597"/>
      <w:r>
        <w:rPr>
          <w:rFonts w:hint="eastAsia" w:ascii="楷体_GB2312" w:hAnsi="楷体_GB2312" w:eastAsia="楷体_GB2312" w:cs="楷体_GB2312"/>
          <w:b w:val="0"/>
          <w:bCs w:val="0"/>
          <w:kern w:val="0"/>
          <w:sz w:val="32"/>
          <w:szCs w:val="32"/>
        </w:rPr>
        <w:t>问题2：如何享受六税两费优惠政策？</w:t>
      </w:r>
      <w:bookmarkEnd w:id="13"/>
      <w:bookmarkEnd w:id="14"/>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答复：您好！</w:t>
      </w:r>
    </w:p>
    <w:p>
      <w:pPr>
        <w:pStyle w:val="11"/>
        <w:widowControl/>
        <w:numPr>
          <w:ilvl w:val="0"/>
          <w:numId w:val="1"/>
        </w:numPr>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对青藏铁路公司及其所属单位运营期间自采自用的砂、石等材料免征资源税。具体操作按《财政部国家税务总局关于青藏铁路公司运营期间有关税收等政策问题的通知》(财税〔2007〕11号)第三条规定执行。</w:t>
      </w:r>
    </w:p>
    <w:p>
      <w:pPr>
        <w:pStyle w:val="11"/>
        <w:widowControl/>
        <w:numPr>
          <w:ilvl w:val="0"/>
          <w:numId w:val="1"/>
        </w:numPr>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自2018年4月1日至2021年3月31日，对页岩气资源税减征30%。具体操作按《财政部国家税务总局关于对页岩气减征资源税的通知》(财税〔2018〕26号)规定执行。</w:t>
      </w:r>
    </w:p>
    <w:p>
      <w:pPr>
        <w:pStyle w:val="11"/>
        <w:widowControl/>
        <w:numPr>
          <w:ilvl w:val="0"/>
          <w:numId w:val="1"/>
        </w:numPr>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根据《财政部税务总局关于进一步支持小微企业和个体工商户发展有关税费政策的公告》（财政部税务总局公告2023年第12号）)有关规定执行。</w:t>
      </w:r>
    </w:p>
    <w:p>
      <w:pPr>
        <w:pStyle w:val="11"/>
        <w:widowControl/>
        <w:numPr>
          <w:ilvl w:val="0"/>
          <w:numId w:val="1"/>
        </w:numPr>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4.自2014年12月1日至2023年8月31日，对充填开采置换出来的煤炭，资源税减征50%。</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答复依据：财政部税务总局关于继续执行的资源税优惠政策的公告</w:t>
      </w:r>
    </w:p>
    <w:p>
      <w:pPr>
        <w:pStyle w:val="3"/>
        <w:spacing w:before="0" w:after="0" w:line="560" w:lineRule="exact"/>
        <w:ind w:firstLine="640" w:firstLineChars="200"/>
        <w:rPr>
          <w:rFonts w:ascii="楷体_GB2312" w:hAnsi="楷体_GB2312" w:eastAsia="楷体_GB2312" w:cs="楷体_GB2312"/>
          <w:b w:val="0"/>
          <w:bCs w:val="0"/>
          <w:kern w:val="0"/>
          <w:sz w:val="32"/>
          <w:szCs w:val="32"/>
        </w:rPr>
      </w:pPr>
      <w:bookmarkStart w:id="15" w:name="_Toc669883019"/>
      <w:bookmarkStart w:id="16" w:name="_Toc22983"/>
      <w:r>
        <w:rPr>
          <w:rFonts w:hint="eastAsia" w:ascii="楷体_GB2312" w:hAnsi="楷体_GB2312" w:eastAsia="楷体_GB2312" w:cs="楷体_GB2312"/>
          <w:b w:val="0"/>
          <w:bCs w:val="0"/>
          <w:kern w:val="0"/>
          <w:sz w:val="32"/>
          <w:szCs w:val="32"/>
        </w:rPr>
        <w:t>问题3：销售哪些饲料产品可享受免征增值税优惠？</w:t>
      </w:r>
      <w:bookmarkEnd w:id="15"/>
      <w:bookmarkEnd w:id="16"/>
      <w:r>
        <w:rPr>
          <w:rFonts w:hint="eastAsia" w:ascii="楷体_GB2312" w:hAnsi="楷体_GB2312" w:eastAsia="楷体_GB2312" w:cs="楷体_GB2312"/>
          <w:b w:val="0"/>
          <w:bCs w:val="0"/>
          <w:kern w:val="0"/>
          <w:sz w:val="32"/>
          <w:szCs w:val="32"/>
        </w:rPr>
        <w:tab/>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答复：您好！</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一、免征增值税的饲料产品范围包括：</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单一大宗饲料。指以一种动物、植物、微生物或矿物质为来源的产品或其副产品。其范围仅限于糠麸、酒糟、鱼粉、草饲料、饲料级磷酸氢钙及除豆粕以外的菜子粕、棉子粕、向日葵粕、花生粕等粕类产品。</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（二）混合饲料。指由两种以上单一大宗饲料、粮食、粮食副产品及饲料添加剂按照一定比例配置，其中单一大宗饲料、粮食及粮食副产品的参兑比例不低于95%的饲料。</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（三）配合饲料。指根据不同的饲养对象，饲养对象的不同生长发育阶段的营养需要，将多种饲料原料按饲料配方经工业生产后，形成的能满足饲养动物全部营养需要（除水分外）的饲料。</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复合预混料。指能够按照国家有关饲料产品的标准要求量，全面提供动物饲养相应阶段所需微量元素（4种或以上）、维生素（8种或以上），由微量元素、维生素、氨基酸和非营养性添加剂中任何两类或两类以上的组分与载体或稀释剂按一定比例配置的均匀混合物。</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（五）浓缩饲料。指由蛋白质、复合预混料及矿物质等按一定比例配制的均匀混合物。</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二、矿物质微量元素舔砖，是以四种以上微量元素、非营养性添加剂和载体为原料，经高压浓缩制成的块状预混物，可供牛、羊等牲畜直接食用，应按照“饲料”免征增值税。</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三、饲用鱼油是鱼粉生产过程中的副产品，主要用于水产养殖和肉鸡饲养，属于单一大宗饲料。经研究，自2003年1月1日起，对饲用鱼油产品按照现行“单一大宗饲料”的增值税政策规定，免予征收增值税。</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四、对饲料级磷酸二氢钙产品可按照现行“单一大宗饲料”的增值税政策规定，免征增值税。</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五、精料补充料属于上述“配合饲料”范畴，可按规定免征增值税。精料补充料是指为补充草食动物的营养，将多种饲料和饲料添加剂按照一定比例配制的饲料。</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答复依据：国家税务总局关于饲用鱼油产品免征增值税的批复；国家税务总局关于饲料级磷酸二氢钙产品增值税政策问题的通知；财政部国家税务总局关于饲料产品免征增值税问题的通知</w:t>
      </w:r>
    </w:p>
    <w:p>
      <w:pPr>
        <w:pStyle w:val="3"/>
        <w:spacing w:before="0" w:after="0" w:line="560" w:lineRule="exac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问题4：亏损企业能否享受小型微利企业所得税优惠政策？</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答复：您好！</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所得税对企业的“净所得”征税，只有盈利企业才会产生纳税义务。因此，小型微利企业所得税优惠政策，无论是减低税率政策还是减半征税政策，都是针对盈利企业而言的。对于亏损的小型微利企业，当期无需缴纳企业所得税，其亏损可以在以后纳税年度结转弥补。</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答复依据：财政部税务总局关于进一步支持小微企业和个体工商户发展有关税费政策的公告如下：</w:t>
      </w:r>
    </w:p>
    <w:p>
      <w:pPr>
        <w:pStyle w:val="11"/>
        <w:widowControl/>
        <w:spacing w:beforeAutospacing="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对小型微利企业减按25%计算应纳税所得额，按20%的税率缴纳企业所得税政策，延续执行至2027年12月31日。</w:t>
      </w:r>
    </w:p>
    <w:p>
      <w:pPr>
        <w:pStyle w:val="11"/>
        <w:widowControl/>
        <w:spacing w:beforeAutospacing="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本公告所称小型微利企业，是指从事国家非限制和禁止行业，且同时符合年度应纳税所得额不超过300万元、从业人数不超过300人、资产总额不超过5000万元等三个条件的企业。</w:t>
      </w:r>
    </w:p>
    <w:p>
      <w:pPr>
        <w:pStyle w:val="11"/>
        <w:widowControl/>
        <w:spacing w:beforeAutospacing="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从业人数，包括与企业建立劳动关系的职工人数和企业接受的劳务派遣用工人数。所称从业人数和资产总额指标，应按企业全年的季度平均值确定。具体计算公式如下：季度平均值＝（季初值＋季末值）÷2全年季度平均值＝全年各季度平均值之和÷4年度中间开业或者终止经营活动的，以其实际经营期作为一个纳税年度确定上述相关指标。</w:t>
      </w:r>
    </w:p>
    <w:p>
      <w:pPr>
        <w:pStyle w:val="11"/>
        <w:widowControl/>
        <w:spacing w:beforeAutospacing="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二条规定的优惠政策。</w:t>
      </w:r>
    </w:p>
    <w:p>
      <w:pPr>
        <w:pStyle w:val="3"/>
        <w:spacing w:before="0" w:after="0" w:line="560" w:lineRule="exac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问题5：蔬菜流通环节免征增值税优惠的政策依据是什么？</w:t>
      </w:r>
    </w:p>
    <w:p>
      <w:pPr>
        <w:pStyle w:val="11"/>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答复：你好！</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对于蔬菜流通环节免征增值税优惠的政策依据是《财政部国家税务总局关于免征蔬菜流通环节增值税有关问题的通知》（财税〔2011〕137号）文件。</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答复依据：财政部国家税务总局关于免征蔬菜流通环节增值税有关问题的通知</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通知如下：</w:t>
      </w:r>
    </w:p>
    <w:p>
      <w:pPr>
        <w:widowControl/>
        <w:numPr>
          <w:ilvl w:val="0"/>
          <w:numId w:val="2"/>
        </w:numPr>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对从事蔬菜批发、零售的纳税人销售的蔬菜免征增值税。蔬菜是指可作副食的草本、木本植物，包括各种蔬菜、菌类植物和少数可作副食的木本植物。蔬菜的主要品种参照《蔬菜主要品种目录》（见附件）执行。经挑选、清洗、切分、晾晒、包装、脱水、冷藏、冷冻等工序加工的蔬菜，属于本通知所述蔬菜的范围。各种蔬菜罐头不属于本通知所述蔬菜的范围。蔬菜罐头是指蔬菜经处理、装罐、密封、杀菌或无菌包装而制成的食品。</w:t>
      </w:r>
    </w:p>
    <w:p>
      <w:pPr>
        <w:widowControl/>
        <w:numPr>
          <w:ilvl w:val="0"/>
          <w:numId w:val="2"/>
        </w:num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纳税人既销售蔬菜又销售其他增值税应税货物的，应分别核算蔬菜和其他增值税应税货物的销售额,未分别核算的，不得享受蔬菜增值税免税政策。</w:t>
      </w:r>
    </w:p>
    <w:p>
      <w:pPr>
        <w:pStyle w:val="3"/>
        <w:spacing w:before="0" w:after="0" w:line="560" w:lineRule="exac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问题6：西部大开发企业所得税优惠是否能跟其他优惠政策叠加享受？</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答复：你好！</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既符合西部大开发15%优惠税率条件，又符合《企业所得税法》及其实施条例和国务院规定的各项税收优惠条件的，可以同时享受。在涉及定期减免税的减半期内，可以按照企业适用税率计算的应纳税额减半征税。</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答复依据：国家税务总局关于深入实施西部大开发战略有关企业所得税问题的公告</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公告如下:根据《财政部国家税务总局关于执行企业所得税优惠政策若干问题的通知》（财税〔2009〕69号）第一条及第二条的规定，企业既符合西部大开发15%优惠税率条件，又符合《企业所得税法》及其实施条例和国务院规定的各项税收优惠条件的，可以同时享受。在涉及定期减免税的减半期内，可以按照企业适用税率计算的应纳税额减半征税。</w:t>
      </w:r>
    </w:p>
    <w:p>
      <w:pPr>
        <w:pStyle w:val="3"/>
        <w:spacing w:before="0" w:after="0" w:line="560" w:lineRule="exac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问题7：农业生产者自产销售的农产品免征增值税，可抵扣的凭证有哪些？</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答复：你好！</w:t>
      </w:r>
    </w:p>
    <w:p>
      <w:pPr>
        <w:pStyle w:val="11"/>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可抵扣的凭证包括：农产品收购发票和自产农产品销售发票。</w:t>
      </w:r>
    </w:p>
    <w:p>
      <w:pPr>
        <w:pStyle w:val="11"/>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农产品收购发票：是指收购单位向农业生产者个人收购自产免税农产品，收购方所开具的发票。税控票在发票左上角自动打印“收购”字样；数电发票在票面左上角展示该业务类型“农产品收购”字样。</w:t>
      </w:r>
    </w:p>
    <w:p>
      <w:pPr>
        <w:pStyle w:val="11"/>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产农产品销售发票：是指直接从事植物的种植、收割和动物的饲养、捕捞的单位和个人销售的《农业产品征税范围注释》注释所列的自产农业产品，由销售方开具的免税发票。税控票无特殊字样。数电发票在票面左上角展示业务类型对应的“自产农产品销售”的字样。</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答复依据：国家税务总局关于明确营改增试点若干征管问题的公告；财政部国家税务总局关于印发《农业产品征税范围注释》的通知;中华人民共和国增值税暂行条例实施细则（财政部国家税务总局令第50号)</w:t>
      </w:r>
    </w:p>
    <w:p>
      <w:pPr>
        <w:pStyle w:val="3"/>
        <w:spacing w:before="0" w:after="0" w:line="560" w:lineRule="exac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问题8：如何在新电子税务局办理小规模纳税人增值税及附加税费申报？</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答复：你好！</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增值税小规模纳税人依据相关税收法律、法规在规定的纳税期限内填报《增值税及附加税费申报表（小规模纳税人适用）》及其附列资料，向税务机关进行纳税申报。具体操作步骤略。</w:t>
      </w:r>
    </w:p>
    <w:p>
      <w:pPr>
        <w:pStyle w:val="3"/>
        <w:spacing w:before="0" w:after="0" w:line="560" w:lineRule="exac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问题9：销售自产农产品是否免征增值税？</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答复：你好！</w:t>
      </w:r>
    </w:p>
    <w:p>
      <w:pPr>
        <w:pStyle w:val="11"/>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针对自产自销农产品免征增值税有以下情形：</w:t>
      </w:r>
    </w:p>
    <w:p>
      <w:pPr>
        <w:pStyle w:val="11"/>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农业生产者销售的自产农产品免征增值税，农产品，是指初级农产品，具体范围由财政部、国家税务总局确定，详见《财政部国家税务总局关于印发&lt;农业产品征税范围注释&gt;的通知》（财税字〔1995〕52号）。同时提醒您，对上述单位和个人销售的外购的农业产品，以及单位和个人外购农业产品生产、加工后销售的仍然属于农业产品，不属于免税的范围，应当按照规定税率征收增值税。</w:t>
      </w:r>
    </w:p>
    <w:p>
      <w:pPr>
        <w:pStyle w:val="11"/>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二、对农民专业合作社销售本社成员生产的农业产品，视同农业生产者销售自产农业产品，免征增值税。</w:t>
      </w:r>
    </w:p>
    <w:p>
      <w:pPr>
        <w:pStyle w:val="11"/>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三、如采取“公司+农户”经营模式回收再销售畜禽，属于农业生产者销售自产农产品，免征增值税。</w:t>
      </w:r>
    </w:p>
    <w:p>
      <w:pPr>
        <w:pStyle w:val="3"/>
        <w:spacing w:before="0" w:after="0" w:line="560" w:lineRule="exact"/>
        <w:ind w:firstLine="640" w:firstLineChars="200"/>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问题10：企业享受增值税加计抵减政策，加计抵减部分的增值税是不是需要缴纳企业所得税？</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答复：你好！</w:t>
      </w:r>
    </w:p>
    <w:p>
      <w:pPr>
        <w:pStyle w:val="11"/>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财政部会计司《关于〈关于深化增值税改革有关政策的公告〉适用〈增值税会计处理规定〉有关问题的解读》中规定，生产、生活性服务业纳税人取得资产或接受劳务时，应当按照《增值税会计处理规定》的相关规定，对增值税相关业务进行会计处理;实际缴纳增值税时，按应纳税额借记“应交税费—未交增值税”等科目，按实际纳税金额贷记“银行存款”科目，按加计抵减的金额贷记“其他收益”科目。</w:t>
      </w:r>
    </w:p>
    <w:p>
      <w:pPr>
        <w:pStyle w:val="11"/>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因此，企业享受增值税加计抵减政策，应当把加计抵减的金额计入企业所得税利润总额，以此计算缴纳企业所得税。</w:t>
      </w:r>
    </w:p>
    <w:p>
      <w:pPr>
        <w:widowControl/>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答复依据：中华人民共和国企业所得税法</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第六条企业以货币形式和非货币形式从各种来源取得的收入，为收入总额。包括：</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(一)销售货物收入;</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(二)提供劳务收入;</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(三)转让财产收入;</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(四)股息、红利等权益性投资收益;</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(五)利息收入;</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(六)租金收入;</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(七)特许权使用费收入;</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(八)接受捐赠收入;</w:t>
      </w:r>
    </w:p>
    <w:p>
      <w:pPr>
        <w:pStyle w:val="2"/>
        <w:spacing w:line="560" w:lineRule="exact"/>
        <w:ind w:left="0" w:leftChars="0"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(九)其他收入。</w:t>
      </w:r>
    </w:p>
    <w:p>
      <w:pPr>
        <w:pStyle w:val="2"/>
        <w:spacing w:line="560" w:lineRule="atLeast"/>
        <w:ind w:left="0" w:leftChars="0" w:firstLine="640" w:firstLineChars="200"/>
        <w:rPr>
          <w:rFonts w:ascii="仿宋_GB2312" w:hAnsi="仿宋_GB2312" w:eastAsia="仿宋_GB2312" w:cs="仿宋_GB2312"/>
        </w:rPr>
      </w:pPr>
      <w:r>
        <w:rPr>
          <w:rFonts w:hint="eastAsia" w:ascii="黑体" w:hAnsi="黑体" w:eastAsia="黑体" w:cs="黑体"/>
          <w:sz w:val="32"/>
          <w:szCs w:val="32"/>
        </w:rPr>
        <w:t>四、征收管理和纳税服务努力方向</w:t>
      </w:r>
    </w:p>
    <w:p>
      <w:pPr>
        <w:spacing w:line="560" w:lineRule="atLeas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基于数据与热点问题的征管纳服改进方向——精准到操作层面：</w:t>
      </w:r>
    </w:p>
    <w:p>
      <w:pPr>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（一）优化方向：聚焦智能升级，渠道协同与服务精细。</w:t>
      </w:r>
    </w:p>
    <w:p>
      <w:pPr>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1.智能应答“提精度”。基于高频咨询问题（如之前增值税，资源税热点），优化智能知识库，补充政策解读，实操指引，训练智能模型更精准识别与解答，降低转人工率，让智能服务“接得住，答的准”。</w:t>
      </w:r>
      <w:r>
        <w:rPr>
          <w:rFonts w:hint="eastAsia" w:ascii="仿宋_GB2312" w:hAnsi="仿宋_GB2312" w:eastAsia="仿宋_GB2312" w:cs="仿宋_GB2312"/>
          <w:kern w:val="0"/>
          <w:sz w:val="32"/>
          <w:szCs w:val="32"/>
          <w:shd w:val="clear" w:color="auto" w:fill="FFFFFF"/>
        </w:rPr>
        <w:t>针对“农产品免税”，提取辖区农业企业名单），制作“自产农产品免税备案+发票开具+申报”流程图，同步推送至企业法人、财务负责人端。构建“政策复合问题知识库”，录入“西部大开发与小微优惠能否叠加”等高频复合问题，智能客服通过关键词匹配直接答复，同步关联政策文件、申报操作指引。</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渠道协同“拓广度”：盘活电话，预约等渠道，通过宣传引导（如办税指引里标明渠道适用场景），案例示范，让纳税人按需选用；同时打通渠道数据，实现问题跨渠道追踪，全流程解决，比如留言转人工跟进后，反馈结果同步至留言渠道，提升服务连贯性。可引导纳税人根据需求选择多元渠道，比如复杂政策咨询用预约互动，紧急问题用电话，提升渠道协同效率；留言互动办结量为5，也提示关注留言类需求处理，完善全渠道服务闭环。</w:t>
      </w:r>
    </w:p>
    <w:p>
      <w:pPr>
        <w:spacing w:line="56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服务精细“挖深度”：结合税种咨询热点（如增值税），针对人工服务高频问题，开展坐席专项培训，强化政策理解与实操应对；也可根据坐席服务时长，效率数据，动态调整人力资源，在咨询高峰时段增配坐席，平衡服务质量与效率。</w:t>
      </w:r>
      <w:r>
        <w:rPr>
          <w:rFonts w:hint="eastAsia" w:ascii="仿宋_GB2312" w:hAnsi="仿宋_GB2312" w:eastAsia="仿宋_GB2312" w:cs="仿宋_GB2312"/>
          <w:kern w:val="0"/>
          <w:sz w:val="32"/>
          <w:szCs w:val="32"/>
          <w:shd w:val="clear" w:color="auto" w:fill="FFFFFF"/>
        </w:rPr>
        <w:t>标签化推送，利用金三系统给“小规模纳税人”“西部大开发企业”打标，通过电子税务局弹窗、短信，定向推送政策包。如给小规模纳税人发送：“六税两费优惠提醒您企业符合条件，申报时可在《财产和行为税减免税明细申报附表》‘六税两费’栏次勾选，附操作指引（略）”。针对“农产品免税”，提取辖区农业企业名单），制作“自产农产品免税备案+发票开具+申报”流程图，同步推送至企业法人、财务负责人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回复模版统一，提升效率与规范度。目前留言处理平均时长为1天，若推行统一回复模版，可让处理人员快速匹配问题类型（如政策咨询，操作疑问），套用规范话术，缩短思考和编辑时间，有望进一步压缩处理时长；同时统一模版能规范回复口径，避免因人员差异导致的回复不一致，提升纳税人对服务专业性的感知。梳理留言高频类型，按照政策解答，系统操作，诉求反馈等分类，制定对应回复模版，包含核心要点，花式框架，经业务骨干审核后推广，处理人员在此基础上补充个性化内容，既提效又保规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审核标准具体化，强化精准与一致。虽当时审核“零差错”，但细化审核标准（如明确政策类，操作类留言审核要点，像政策类咨询需核查问题涉及税种，适用场景等），可让专人审核更精准，一致，减少主观判断差异；也便于新人接手审核人员快速上手，保障审核质量稳定性，为后续处理环节提供更清晰，更具针对性的“问题包”，助力提升整体留言互动质效。标准细化，动态迭代。由业务，法治等部门协同，围绕留言合规性，完整性，关联性等，细化审核标准（如政策类留言需标注政策文号，适用条件），形成“谁呢还能指引手册”，定期根据留言新情况（如政策更新，系统升级产生新问题）迭代标准，让审核始终精准适配需求。</w:t>
      </w:r>
    </w:p>
    <w:p>
      <w:pPr>
        <w:pStyle w:val="2"/>
        <w:spacing w:line="560" w:lineRule="exact"/>
        <w:ind w:left="0" w:leftChars="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深化主动互动。基于税务人发起量少，梳理纳税人常见痛点（如申报易错点，优惠遗漏风险），由税务人主动发起人工互动9（如纳税提醒，政策精准推送），变“被动响应”为“主动服务”，提前化解办税问题。制作预约服务指南（含适用场景：如复杂退税办理，夸税种政策规划，操作流程），通过电子税务局弹窗，税企群，办税厅宣传屏推广，让纳税人清楚“何时用预约，怎么预约”，提升发起量。简化预约操作（如一键预约，短信确认),预约成功后自动推送服务提醒（含时间，对接人员，准备资料）；对违约情况，支持“二次预约”并标记原因，优化服务闭环，提升成功率。</w:t>
      </w:r>
    </w:p>
    <w:p>
      <w:pPr>
        <w:pStyle w:val="2"/>
        <w:spacing w:line="560" w:lineRule="exact"/>
        <w:ind w:left="0" w:leftChars="0" w:firstLine="640" w:firstLineChars="200"/>
        <w:rPr>
          <w:rFonts w:ascii="仿宋_GB2312" w:hAnsi="仿宋_GB2312" w:eastAsia="仿宋_GB2312" w:cs="仿宋_GB2312"/>
        </w:rPr>
      </w:pPr>
      <w:r>
        <w:rPr>
          <w:rFonts w:hint="eastAsia" w:ascii="仿宋_GB2312" w:hAnsi="仿宋_GB2312" w:eastAsia="仿宋_GB2312" w:cs="仿宋_GB2312"/>
          <w:kern w:val="0"/>
          <w:sz w:val="32"/>
          <w:szCs w:val="32"/>
        </w:rPr>
        <w:t>7.推广多元服务，针对音视频，远程协助，制作操作指引，场景案例（如远程教你填报表），在办税渠道显眼位置宣传，对三方互动，打通跨部门协助流程，提升复杂业务处理率。（3）主动预约，拓展场景：税务端梳理服务清单（如“新办企业专属辅导预约”“汇算清缴风险预检预约”)，针对特定企业（如新办户，高风险户)主动发起预约，将预约从“纳税人找服务”到“服务找纳税人”，挖掘预约服务的主动价值，匹配税务管理需求。</w:t>
      </w:r>
    </w:p>
    <w:sectPr>
      <w:footerReference r:id="rId8" w:type="first"/>
      <w:footerReference r:id="rId6" w:type="default"/>
      <w:footerReference r:id="rId7" w:type="even"/>
      <w:pgSz w:w="11906" w:h="16838"/>
      <w:pgMar w:top="1701" w:right="1474" w:bottom="1304" w:left="1588" w:header="851" w:footer="850"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03794420"/>
                          </w:sdtPr>
                          <w:sdtContent>
                            <w:p>
                              <w:pPr>
                                <w:pStyle w:val="7"/>
                                <w:jc w:val="right"/>
                              </w:pPr>
                              <w:r>
                                <w:fldChar w:fldCharType="begin"/>
                              </w:r>
                              <w:r>
                                <w:instrText xml:space="preserve">PAGE   \* MERGEFORMAT</w:instrText>
                              </w:r>
                              <w:r>
                                <w:fldChar w:fldCharType="separate"/>
                              </w:r>
                              <w:r>
                                <w:rPr>
                                  <w:lang w:val="zh-CN"/>
                                </w:rPr>
                                <w:t>-</w:t>
                              </w:r>
                              <w:r>
                                <w:t xml:space="preserve"> 1 -</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sdt>
                    <w:sdtPr>
                      <w:id w:val="-703794420"/>
                    </w:sdtPr>
                    <w:sdtContent>
                      <w:p>
                        <w:pPr>
                          <w:pStyle w:val="7"/>
                          <w:jc w:val="right"/>
                        </w:pPr>
                        <w:r>
                          <w:fldChar w:fldCharType="begin"/>
                        </w:r>
                        <w:r>
                          <w:instrText xml:space="preserve">PAGE   \* MERGEFORMAT</w:instrText>
                        </w:r>
                        <w:r>
                          <w:fldChar w:fldCharType="separate"/>
                        </w:r>
                        <w:r>
                          <w:rPr>
                            <w:lang w:val="zh-CN"/>
                          </w:rPr>
                          <w:t>-</w:t>
                        </w:r>
                        <w:r>
                          <w:t xml:space="preserve"> 1 -</w:t>
                        </w:r>
                        <w:r>
                          <w:fldChar w:fldCharType="end"/>
                        </w:r>
                      </w:p>
                    </w:sdtContent>
                  </w:sdt>
                  <w:p>
                    <w:pPr>
                      <w:pStyle w:val="2"/>
                    </w:pP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3610672"/>
                          </w:sdtPr>
                          <w:sdtContent>
                            <w:p>
                              <w:pPr>
                                <w:pStyle w:val="7"/>
                                <w:jc w:val="right"/>
                              </w:pPr>
                              <w:r>
                                <w:fldChar w:fldCharType="begin"/>
                              </w:r>
                              <w:r>
                                <w:instrText xml:space="preserve">PAGE   \* MERGEFORMAT</w:instrText>
                              </w:r>
                              <w:r>
                                <w:fldChar w:fldCharType="separate"/>
                              </w:r>
                              <w:r>
                                <w:rPr>
                                  <w:lang w:val="zh-CN"/>
                                </w:rPr>
                                <w:t>-</w:t>
                              </w:r>
                              <w:r>
                                <w:t xml:space="preserve"> 11 -</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sdt>
                    <w:sdtPr>
                      <w:id w:val="313610672"/>
                    </w:sdtPr>
                    <w:sdtContent>
                      <w:p>
                        <w:pPr>
                          <w:pStyle w:val="7"/>
                          <w:jc w:val="right"/>
                        </w:pPr>
                        <w:r>
                          <w:fldChar w:fldCharType="begin"/>
                        </w:r>
                        <w:r>
                          <w:instrText xml:space="preserve">PAGE   \* MERGEFORMAT</w:instrText>
                        </w:r>
                        <w:r>
                          <w:fldChar w:fldCharType="separate"/>
                        </w:r>
                        <w:r>
                          <w:rPr>
                            <w:lang w:val="zh-CN"/>
                          </w:rPr>
                          <w:t>-</w:t>
                        </w:r>
                        <w:r>
                          <w:t xml:space="preserve"> 11 -</w:t>
                        </w:r>
                        <w:r>
                          <w:fldChar w:fldCharType="end"/>
                        </w:r>
                      </w:p>
                    </w:sdtContent>
                  </w:sdt>
                  <w:p>
                    <w:pPr>
                      <w:pStyle w:val="2"/>
                    </w:pP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F209E"/>
    <w:multiLevelType w:val="singleLevel"/>
    <w:tmpl w:val="9DFF209E"/>
    <w:lvl w:ilvl="0" w:tentative="0">
      <w:start w:val="1"/>
      <w:numFmt w:val="chineseCounting"/>
      <w:suff w:val="nothing"/>
      <w:lvlText w:val="%1、"/>
      <w:lvlJc w:val="left"/>
      <w:rPr>
        <w:rFonts w:hint="eastAsia"/>
      </w:rPr>
    </w:lvl>
  </w:abstractNum>
  <w:abstractNum w:abstractNumId="1">
    <w:nsid w:val="EFEC41B4"/>
    <w:multiLevelType w:val="singleLevel"/>
    <w:tmpl w:val="EFEC41B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83425"/>
    <w:rsid w:val="00014410"/>
    <w:rsid w:val="00134A7D"/>
    <w:rsid w:val="00156904"/>
    <w:rsid w:val="002142EC"/>
    <w:rsid w:val="002B399E"/>
    <w:rsid w:val="002D29DB"/>
    <w:rsid w:val="0042337C"/>
    <w:rsid w:val="0045379F"/>
    <w:rsid w:val="00503089"/>
    <w:rsid w:val="00551280"/>
    <w:rsid w:val="00695F92"/>
    <w:rsid w:val="006E72E0"/>
    <w:rsid w:val="00754A5C"/>
    <w:rsid w:val="00757DF8"/>
    <w:rsid w:val="007C07DB"/>
    <w:rsid w:val="00807873"/>
    <w:rsid w:val="00814850"/>
    <w:rsid w:val="0090523D"/>
    <w:rsid w:val="009A02F4"/>
    <w:rsid w:val="00A45D57"/>
    <w:rsid w:val="00B56BA2"/>
    <w:rsid w:val="00C12A69"/>
    <w:rsid w:val="00D73160"/>
    <w:rsid w:val="00DC18CD"/>
    <w:rsid w:val="00E13859"/>
    <w:rsid w:val="00F130A3"/>
    <w:rsid w:val="048631D3"/>
    <w:rsid w:val="051105A1"/>
    <w:rsid w:val="07635D46"/>
    <w:rsid w:val="0A0B6818"/>
    <w:rsid w:val="0C657C3D"/>
    <w:rsid w:val="0D03511B"/>
    <w:rsid w:val="0DF9A1B9"/>
    <w:rsid w:val="0FF51329"/>
    <w:rsid w:val="11A87AB0"/>
    <w:rsid w:val="13163414"/>
    <w:rsid w:val="14845620"/>
    <w:rsid w:val="1599499D"/>
    <w:rsid w:val="17627821"/>
    <w:rsid w:val="17B25517"/>
    <w:rsid w:val="17FF5EEA"/>
    <w:rsid w:val="18FB3872"/>
    <w:rsid w:val="19153DD8"/>
    <w:rsid w:val="1AC83425"/>
    <w:rsid w:val="1AFA1235"/>
    <w:rsid w:val="1BE82378"/>
    <w:rsid w:val="1DD7C557"/>
    <w:rsid w:val="1ED22CD7"/>
    <w:rsid w:val="219722FE"/>
    <w:rsid w:val="22D92C8A"/>
    <w:rsid w:val="23E00430"/>
    <w:rsid w:val="24E40AA8"/>
    <w:rsid w:val="27B52609"/>
    <w:rsid w:val="2B8C5A00"/>
    <w:rsid w:val="2DC35370"/>
    <w:rsid w:val="2EB739E5"/>
    <w:rsid w:val="2EF1529F"/>
    <w:rsid w:val="2F15E4ED"/>
    <w:rsid w:val="32B070D9"/>
    <w:rsid w:val="32E46C4B"/>
    <w:rsid w:val="32EA5645"/>
    <w:rsid w:val="33777E98"/>
    <w:rsid w:val="34003978"/>
    <w:rsid w:val="34D570BD"/>
    <w:rsid w:val="36127C32"/>
    <w:rsid w:val="36FF8553"/>
    <w:rsid w:val="377F408D"/>
    <w:rsid w:val="388F5486"/>
    <w:rsid w:val="38D451D2"/>
    <w:rsid w:val="393E8CDC"/>
    <w:rsid w:val="39951CF8"/>
    <w:rsid w:val="39ED59F9"/>
    <w:rsid w:val="3DB21BDD"/>
    <w:rsid w:val="3E82651A"/>
    <w:rsid w:val="3F053BCB"/>
    <w:rsid w:val="3FB5655C"/>
    <w:rsid w:val="40060D7A"/>
    <w:rsid w:val="4160391B"/>
    <w:rsid w:val="41DC04CF"/>
    <w:rsid w:val="41EF5CD5"/>
    <w:rsid w:val="46EE4C11"/>
    <w:rsid w:val="472A7F69"/>
    <w:rsid w:val="4A4561A1"/>
    <w:rsid w:val="4AADDE00"/>
    <w:rsid w:val="4BBC0DEF"/>
    <w:rsid w:val="4C337F44"/>
    <w:rsid w:val="4D3E4573"/>
    <w:rsid w:val="4D762BF7"/>
    <w:rsid w:val="4D862D43"/>
    <w:rsid w:val="4F001382"/>
    <w:rsid w:val="4F3D4B5F"/>
    <w:rsid w:val="4FFCEE11"/>
    <w:rsid w:val="4FFFFEA5"/>
    <w:rsid w:val="51FED7AB"/>
    <w:rsid w:val="543F1BE0"/>
    <w:rsid w:val="582C1F93"/>
    <w:rsid w:val="58676CF6"/>
    <w:rsid w:val="5A5F07CE"/>
    <w:rsid w:val="5AD7EB3D"/>
    <w:rsid w:val="5BD462C2"/>
    <w:rsid w:val="5C4A235F"/>
    <w:rsid w:val="5CE2003B"/>
    <w:rsid w:val="5DDE0084"/>
    <w:rsid w:val="5DEDD6DF"/>
    <w:rsid w:val="5EFA7CCD"/>
    <w:rsid w:val="5F3F9A36"/>
    <w:rsid w:val="5F5B7F16"/>
    <w:rsid w:val="5FDB9A9B"/>
    <w:rsid w:val="5FE616B2"/>
    <w:rsid w:val="60B23737"/>
    <w:rsid w:val="61545151"/>
    <w:rsid w:val="61ED7180"/>
    <w:rsid w:val="61EF890D"/>
    <w:rsid w:val="62E05DB4"/>
    <w:rsid w:val="63E9F786"/>
    <w:rsid w:val="65286C66"/>
    <w:rsid w:val="65F76EC2"/>
    <w:rsid w:val="670167B5"/>
    <w:rsid w:val="672E2847"/>
    <w:rsid w:val="67BFA71F"/>
    <w:rsid w:val="67FF25DA"/>
    <w:rsid w:val="68A40CDB"/>
    <w:rsid w:val="6B7E300F"/>
    <w:rsid w:val="6C751F8F"/>
    <w:rsid w:val="6D724EDB"/>
    <w:rsid w:val="6EBC1481"/>
    <w:rsid w:val="6F07B1D6"/>
    <w:rsid w:val="6FBB27F8"/>
    <w:rsid w:val="6FCD4DBA"/>
    <w:rsid w:val="6FDBD8EE"/>
    <w:rsid w:val="6FDE4950"/>
    <w:rsid w:val="6FFD3097"/>
    <w:rsid w:val="73DD260F"/>
    <w:rsid w:val="74F9707A"/>
    <w:rsid w:val="757DE146"/>
    <w:rsid w:val="758F1826"/>
    <w:rsid w:val="75B76EF3"/>
    <w:rsid w:val="773EDA3B"/>
    <w:rsid w:val="77BE55BD"/>
    <w:rsid w:val="77EF96B3"/>
    <w:rsid w:val="7AFC5C87"/>
    <w:rsid w:val="7BB7DAD2"/>
    <w:rsid w:val="7C933244"/>
    <w:rsid w:val="7CFE888D"/>
    <w:rsid w:val="7D6BC24D"/>
    <w:rsid w:val="7E6E00CA"/>
    <w:rsid w:val="7EF3CC33"/>
    <w:rsid w:val="7F3E08A3"/>
    <w:rsid w:val="7F7C455C"/>
    <w:rsid w:val="7F7D58EC"/>
    <w:rsid w:val="7F7F3838"/>
    <w:rsid w:val="7F7F48FE"/>
    <w:rsid w:val="7FF10FD1"/>
    <w:rsid w:val="87573B77"/>
    <w:rsid w:val="957F8AEA"/>
    <w:rsid w:val="97DF00A7"/>
    <w:rsid w:val="9BCC2BEB"/>
    <w:rsid w:val="9D4B5CFF"/>
    <w:rsid w:val="9EBE6EAE"/>
    <w:rsid w:val="9FBFC268"/>
    <w:rsid w:val="A7FDFD17"/>
    <w:rsid w:val="AB8B95C3"/>
    <w:rsid w:val="B4BFB8B4"/>
    <w:rsid w:val="B72DDE28"/>
    <w:rsid w:val="B73B445F"/>
    <w:rsid w:val="B75F1C5C"/>
    <w:rsid w:val="BA7B23C6"/>
    <w:rsid w:val="BBD2F8F8"/>
    <w:rsid w:val="BBFD08B6"/>
    <w:rsid w:val="BDE7D771"/>
    <w:rsid w:val="BEB6135C"/>
    <w:rsid w:val="BF7D655E"/>
    <w:rsid w:val="D36B3424"/>
    <w:rsid w:val="D3CF7B87"/>
    <w:rsid w:val="D65F8018"/>
    <w:rsid w:val="DBF75C82"/>
    <w:rsid w:val="DBFF119D"/>
    <w:rsid w:val="DC77A80A"/>
    <w:rsid w:val="DF7F5E03"/>
    <w:rsid w:val="DFC7AD35"/>
    <w:rsid w:val="DFF9669F"/>
    <w:rsid w:val="E09DC543"/>
    <w:rsid w:val="E3FC8CB7"/>
    <w:rsid w:val="E4FFA08B"/>
    <w:rsid w:val="E9E71DCB"/>
    <w:rsid w:val="E9F71EFB"/>
    <w:rsid w:val="ECBE0A12"/>
    <w:rsid w:val="EF9D762A"/>
    <w:rsid w:val="EFEF2441"/>
    <w:rsid w:val="F1A7A355"/>
    <w:rsid w:val="F3B709B6"/>
    <w:rsid w:val="F57BE015"/>
    <w:rsid w:val="F5BDA123"/>
    <w:rsid w:val="F5FE3186"/>
    <w:rsid w:val="F6B75309"/>
    <w:rsid w:val="F9EFB3E6"/>
    <w:rsid w:val="FAFBF789"/>
    <w:rsid w:val="FB7F1650"/>
    <w:rsid w:val="FBFF54C1"/>
    <w:rsid w:val="FBFFF784"/>
    <w:rsid w:val="FDD9D449"/>
    <w:rsid w:val="FE734873"/>
    <w:rsid w:val="FE7E6D80"/>
    <w:rsid w:val="FE7FCE88"/>
    <w:rsid w:val="FEEE83F0"/>
    <w:rsid w:val="FEFD9834"/>
    <w:rsid w:val="FEFFF2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5">
    <w:name w:val="Body Text Indent"/>
    <w:basedOn w:val="1"/>
    <w:qFormat/>
    <w:uiPriority w:val="0"/>
    <w:pPr>
      <w:ind w:firstLine="768" w:firstLineChars="240"/>
    </w:pPr>
    <w:rPr>
      <w:rFonts w:ascii="楷体_GB2312" w:eastAsia="楷体_GB2312"/>
      <w:bCs/>
      <w:sz w:val="32"/>
      <w:szCs w:val="24"/>
    </w:rPr>
  </w:style>
  <w:style w:type="paragraph" w:styleId="6">
    <w:name w:val="Balloon Text"/>
    <w:basedOn w:val="1"/>
    <w:link w:val="27"/>
    <w:qFormat/>
    <w:uiPriority w:val="0"/>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Title"/>
    <w:basedOn w:val="1"/>
    <w:next w:val="1"/>
    <w:link w:val="19"/>
    <w:qFormat/>
    <w:uiPriority w:val="0"/>
    <w:pPr>
      <w:spacing w:before="240" w:after="60"/>
      <w:jc w:val="center"/>
      <w:outlineLvl w:val="0"/>
    </w:pPr>
    <w:rPr>
      <w:rFonts w:asciiTheme="majorHAnsi" w:hAnsiTheme="majorHAnsi" w:cstheme="majorBidi"/>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标题1"/>
    <w:basedOn w:val="1"/>
    <w:qFormat/>
    <w:uiPriority w:val="0"/>
    <w:pPr>
      <w:spacing w:line="560" w:lineRule="exact"/>
      <w:jc w:val="center"/>
    </w:pPr>
    <w:rPr>
      <w:rFonts w:hint="eastAsia" w:ascii="方正小标宋简体" w:hAnsi="方正小标宋简体" w:eastAsia="方正小标宋简体" w:cs="方正小标宋简体"/>
      <w:sz w:val="44"/>
      <w:szCs w:val="44"/>
    </w:rPr>
  </w:style>
  <w:style w:type="paragraph" w:styleId="18">
    <w:name w:val="List Paragraph"/>
    <w:basedOn w:val="1"/>
    <w:unhideWhenUsed/>
    <w:qFormat/>
    <w:uiPriority w:val="99"/>
    <w:pPr>
      <w:ind w:firstLine="420" w:firstLineChars="200"/>
    </w:pPr>
  </w:style>
  <w:style w:type="character" w:customStyle="1" w:styleId="19">
    <w:name w:val="标题 Char"/>
    <w:basedOn w:val="15"/>
    <w:link w:val="12"/>
    <w:qFormat/>
    <w:uiPriority w:val="0"/>
    <w:rPr>
      <w:rFonts w:eastAsia="宋体" w:asciiTheme="majorHAnsi" w:hAnsiTheme="majorHAnsi" w:cstheme="majorBidi"/>
      <w:b/>
      <w:bCs/>
      <w:kern w:val="2"/>
      <w:sz w:val="32"/>
      <w:szCs w:val="32"/>
    </w:rPr>
  </w:style>
  <w:style w:type="character" w:customStyle="1" w:styleId="20">
    <w:name w:val="标题 2 Char"/>
    <w:basedOn w:val="15"/>
    <w:link w:val="4"/>
    <w:qFormat/>
    <w:uiPriority w:val="0"/>
    <w:rPr>
      <w:rFonts w:asciiTheme="majorHAnsi" w:hAnsiTheme="majorHAnsi" w:eastAsiaTheme="majorEastAsia" w:cstheme="majorBidi"/>
      <w:b/>
      <w:bCs/>
      <w:kern w:val="2"/>
      <w:sz w:val="32"/>
      <w:szCs w:val="32"/>
    </w:rPr>
  </w:style>
  <w:style w:type="character" w:customStyle="1" w:styleId="21">
    <w:name w:val="标题 1 Char"/>
    <w:basedOn w:val="15"/>
    <w:link w:val="3"/>
    <w:qFormat/>
    <w:uiPriority w:val="0"/>
    <w:rPr>
      <w:rFonts w:ascii="Times New Roman" w:hAnsi="Times New Roman" w:eastAsia="宋体" w:cs="Times New Roman"/>
      <w:b/>
      <w:bCs/>
      <w:kern w:val="44"/>
      <w:sz w:val="44"/>
      <w:szCs w:val="44"/>
    </w:rPr>
  </w:style>
  <w:style w:type="paragraph" w:customStyle="1" w:styleId="22">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3">
    <w:name w:val="页眉 Char"/>
    <w:basedOn w:val="15"/>
    <w:link w:val="8"/>
    <w:qFormat/>
    <w:uiPriority w:val="0"/>
    <w:rPr>
      <w:rFonts w:ascii="Times New Roman" w:hAnsi="Times New Roman" w:eastAsia="宋体" w:cs="Times New Roman"/>
      <w:kern w:val="2"/>
      <w:sz w:val="18"/>
      <w:szCs w:val="18"/>
    </w:rPr>
  </w:style>
  <w:style w:type="character" w:customStyle="1" w:styleId="24">
    <w:name w:val="页脚 Char"/>
    <w:basedOn w:val="15"/>
    <w:link w:val="7"/>
    <w:qFormat/>
    <w:uiPriority w:val="99"/>
    <w:rPr>
      <w:rFonts w:ascii="Times New Roman" w:hAnsi="Times New Roman" w:eastAsia="宋体" w:cs="Times New Roman"/>
      <w:kern w:val="2"/>
      <w:sz w:val="18"/>
      <w:szCs w:val="18"/>
    </w:rPr>
  </w:style>
  <w:style w:type="character" w:customStyle="1" w:styleId="25">
    <w:name w:val="NormalCharacter"/>
    <w:link w:val="26"/>
    <w:qFormat/>
    <w:locked/>
    <w:uiPriority w:val="0"/>
    <w:rPr>
      <w:szCs w:val="20"/>
    </w:rPr>
  </w:style>
  <w:style w:type="paragraph" w:customStyle="1" w:styleId="26">
    <w:name w:val="UserStyle_0"/>
    <w:basedOn w:val="1"/>
    <w:link w:val="25"/>
    <w:qFormat/>
    <w:uiPriority w:val="0"/>
    <w:pPr>
      <w:widowControl/>
      <w:ind w:firstLine="420" w:firstLineChars="200"/>
      <w:textAlignment w:val="baseline"/>
    </w:pPr>
    <w:rPr>
      <w:szCs w:val="20"/>
    </w:rPr>
  </w:style>
  <w:style w:type="character" w:customStyle="1" w:styleId="27">
    <w:name w:val="批注框文本 Char"/>
    <w:basedOn w:val="15"/>
    <w:link w:val="6"/>
    <w:qFormat/>
    <w:uiPriority w:val="0"/>
    <w:rPr>
      <w:kern w:val="2"/>
      <w:sz w:val="18"/>
      <w:szCs w:val="18"/>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27</Pages>
  <Words>2080</Words>
  <Characters>11856</Characters>
  <Lines>98</Lines>
  <Paragraphs>27</Paragraphs>
  <TotalTime>107</TotalTime>
  <ScaleCrop>false</ScaleCrop>
  <LinksUpToDate>false</LinksUpToDate>
  <CharactersWithSpaces>13909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2025-07-06T22:34:00Z</dcterms:created>
  <dc:creator>高旭</dc:creator>
  <cp:lastModifiedBy>张禹</cp:lastModifiedBy>
  <dcterms:modified xsi:type="dcterms:W3CDTF">2025-07-24T06:52:00Z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eyJoZGlkIjoiMmZkOGFjMmU2MzkzOTEwZjk4NmRmODUzMThkOGQxMDMiLCJ1c2VySWQiOiI2NDQxODcwOTQifQ==</vt:lpwstr>
  </property>
  <property fmtid="{D5CDD505-2E9C-101B-9397-08002B2CF9AE}" pid="4" name="ICV">
    <vt:lpwstr>A02047C8C10247078DA231866695DF7F_12</vt:lpwstr>
  </property>
</Properties>
</file>