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0" w:lineRule="exact"/>
        <w:jc w:val="both"/>
        <w:rPr>
          <w:b w:val="0"/>
          <w:bCs/>
          <w:sz w:val="52"/>
          <w:szCs w:val="44"/>
        </w:rPr>
      </w:pPr>
      <w:r>
        <w:rPr>
          <w:rFonts w:hint="eastAsia" w:ascii="华文中宋" w:hAnsi="华文中宋" w:eastAsia="华文中宋"/>
          <w:b w:val="0"/>
          <w:bCs/>
          <w:sz w:val="52"/>
          <w:szCs w:val="52"/>
          <w:lang w:eastAsia="zh-CN"/>
        </w:rPr>
        <w:t>国家税务总局</w:t>
      </w:r>
      <w:r>
        <w:rPr>
          <w:rFonts w:hint="eastAsia" w:ascii="华文中宋" w:hAnsi="华文中宋" w:eastAsia="华文中宋"/>
          <w:b w:val="0"/>
          <w:bCs/>
          <w:sz w:val="52"/>
          <w:szCs w:val="52"/>
        </w:rPr>
        <w:t>锡林郭勒盟</w:t>
      </w:r>
      <w:r>
        <w:rPr>
          <w:rFonts w:hint="eastAsia" w:ascii="华文中宋" w:hAnsi="华文中宋" w:eastAsia="华文中宋" w:cs="宋体"/>
          <w:b w:val="0"/>
          <w:bCs/>
          <w:sz w:val="52"/>
          <w:szCs w:val="52"/>
        </w:rPr>
        <w:t>税务</w:t>
      </w:r>
      <w:r>
        <w:rPr>
          <w:rFonts w:hint="eastAsia" w:ascii="华文中宋" w:hAnsi="华文中宋" w:eastAsia="华文中宋" w:cs="Dotum"/>
          <w:b w:val="0"/>
          <w:bCs/>
          <w:sz w:val="52"/>
          <w:szCs w:val="52"/>
        </w:rPr>
        <w:t>局稽</w:t>
      </w:r>
      <w:r>
        <w:rPr>
          <w:rFonts w:hint="eastAsia" w:ascii="华文中宋" w:hAnsi="华文中宋" w:eastAsia="华文中宋" w:cs="宋体"/>
          <w:b w:val="0"/>
          <w:bCs/>
          <w:sz w:val="52"/>
          <w:szCs w:val="52"/>
        </w:rPr>
        <w:t>查</w:t>
      </w:r>
      <w:r>
        <w:rPr>
          <w:rFonts w:hint="eastAsia" w:ascii="华文中宋" w:hAnsi="华文中宋" w:eastAsia="华文中宋" w:cs="Dotum"/>
          <w:b w:val="0"/>
          <w:bCs/>
          <w:sz w:val="52"/>
          <w:szCs w:val="52"/>
        </w:rPr>
        <w:t>局</w:t>
      </w:r>
    </w:p>
    <w:p>
      <w:pPr>
        <w:pStyle w:val="9"/>
        <w:jc w:val="center"/>
        <w:rPr>
          <w:rFonts w:hint="eastAsia" w:ascii="华文中宋" w:hAnsi="华文中宋" w:eastAsia="华文中宋"/>
          <w:b w:val="0"/>
          <w:bCs/>
          <w:sz w:val="72"/>
          <w:szCs w:val="52"/>
        </w:rPr>
      </w:pPr>
      <w:r>
        <w:rPr>
          <w:rFonts w:hint="eastAsia" w:ascii="华文中宋" w:hAnsi="华文中宋" w:eastAsia="华文中宋"/>
          <w:b w:val="0"/>
          <w:bCs/>
          <w:sz w:val="72"/>
          <w:szCs w:val="52"/>
        </w:rPr>
        <w:t>税务处理决定书</w:t>
      </w:r>
    </w:p>
    <w:p>
      <w:pPr>
        <w:pStyle w:val="9"/>
        <w:jc w:val="center"/>
        <w:rPr>
          <w:rFonts w:hint="default" w:ascii="仿宋_GB2312" w:eastAsia="仿宋_GB2312"/>
          <w:spacing w:val="20"/>
          <w:sz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锡税稽处</w:t>
      </w:r>
      <w:r>
        <w:rPr>
          <w:rFonts w:hint="eastAsia" w:ascii="仿宋_GB2312" w:eastAsia="仿宋_GB2312"/>
          <w:spacing w:val="20"/>
          <w:sz w:val="32"/>
        </w:rPr>
        <w:t>〔20</w:t>
      </w:r>
      <w:r>
        <w:rPr>
          <w:rFonts w:hint="eastAsia" w:ascii="仿宋_GB2312" w:eastAsia="仿宋_GB2312"/>
          <w:spacing w:val="20"/>
          <w:sz w:val="32"/>
          <w:lang w:val="en-US" w:eastAsia="zh-CN"/>
        </w:rPr>
        <w:t>25</w:t>
      </w:r>
      <w:r>
        <w:rPr>
          <w:rFonts w:hint="eastAsia" w:ascii="仿宋_GB2312" w:eastAsia="仿宋_GB2312"/>
          <w:spacing w:val="20"/>
          <w:sz w:val="32"/>
        </w:rPr>
        <w:t>〕</w:t>
      </w:r>
      <w:r>
        <w:rPr>
          <w:rFonts w:hint="eastAsia" w:ascii="仿宋_GB2312" w:eastAsia="仿宋_GB2312"/>
          <w:color w:val="auto"/>
          <w:spacing w:val="20"/>
          <w:sz w:val="32"/>
          <w:lang w:val="en-US" w:eastAsia="zh-CN"/>
        </w:rPr>
        <w:t>12</w:t>
      </w:r>
      <w:r>
        <w:rPr>
          <w:rFonts w:hint="eastAsia" w:ascii="仿宋_GB2312" w:eastAsia="仿宋_GB2312"/>
          <w:spacing w:val="20"/>
          <w:sz w:val="32"/>
        </w:rPr>
        <w:t>号</w:t>
      </w:r>
    </w:p>
    <w:p>
      <w:pPr>
        <w:pStyle w:val="9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59055</wp:posOffset>
                </wp:positionV>
                <wp:extent cx="5687695" cy="635"/>
                <wp:effectExtent l="0" t="20320" r="8255" b="361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ln w="412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15pt;margin-top:4.65pt;height:0.05pt;width:447.85pt;z-index:251659264;mso-width-relative:page;mso-height-relative:page;" filled="f" stroked="t" coordsize="21600,21600" o:gfxdata="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Cv6TTVAAAABwEAAA8AAAAAAAAAAQAgAAAAIgAAAGRycy9kb3ducmV2&#10;LnhtbFBLAQIUABQAAAAIAIdO4kBXFaYI/wEAAO8DAAAOAAAAAAAAAAEAIAAAACQBAABkcnMvZTJv&#10;RG9jLnhtbFBLBQYAAAAABgAGAFkBAACVBQAAAAA=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color w:val="000000"/>
          <w:sz w:val="32"/>
          <w:szCs w:val="32"/>
        </w:rPr>
        <w:t>内蒙古宁奔机械设备有限公司（统一社会信用代码号：91152522MAEH19G50U）：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我局于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zh-CN"/>
        </w:rPr>
        <w:t>20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</w:rPr>
        <w:t>年9月</w:t>
      </w: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</w:rPr>
        <w:t>日</w:t>
      </w: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" w:eastAsia="仿宋_GB2312"/>
          <w:b w:val="0"/>
          <w:bCs/>
          <w:sz w:val="32"/>
          <w:szCs w:val="32"/>
          <w:highlight w:val="none"/>
          <w:lang w:val="en-US" w:eastAsia="zh-CN"/>
        </w:rPr>
        <w:t>11月1日</w:t>
      </w:r>
      <w:r>
        <w:rPr>
          <w:rFonts w:hint="eastAsia" w:ascii="仿宋_GB2312" w:eastAsia="仿宋_GB2312"/>
          <w:sz w:val="32"/>
          <w:szCs w:val="32"/>
          <w:highlight w:val="none"/>
        </w:rPr>
        <w:t>对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内蒙古自治区锡林郭勒盟阿巴嘎旗别力古台镇鑫源小区1号商住楼1单元107铺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微软雅黑" w:eastAsia="仿宋_GB2312"/>
          <w:b w:val="0"/>
          <w:bCs/>
          <w:sz w:val="32"/>
          <w:szCs w:val="32"/>
          <w:highlight w:val="none"/>
        </w:rPr>
        <w:t>2025年4月17日至2025年8月1日</w:t>
      </w:r>
      <w:r>
        <w:rPr>
          <w:rFonts w:hint="eastAsia" w:ascii="仿宋_GB2312" w:hAnsi="宋体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的涉税情况进行了检</w:t>
      </w:r>
      <w:r>
        <w:rPr>
          <w:rFonts w:hint="eastAsia" w:ascii="仿宋_GB2312" w:hAnsi="仿宋" w:eastAsia="仿宋_GB2312" w:cs="Courier New"/>
          <w:bCs/>
          <w:color w:val="auto"/>
          <w:kern w:val="0"/>
          <w:sz w:val="32"/>
          <w:szCs w:val="32"/>
          <w:highlight w:val="none"/>
          <w:lang w:val="zh-CN"/>
        </w:rPr>
        <w:t>查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存在</w:t>
      </w:r>
      <w:r>
        <w:rPr>
          <w:rFonts w:hint="eastAsia" w:ascii="仿宋_GB2312" w:eastAsia="仿宋_GB2312"/>
          <w:sz w:val="32"/>
          <w:szCs w:val="32"/>
          <w:highlight w:val="none"/>
        </w:rPr>
        <w:t>违法事实及处理决定如下：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30" w:firstLineChars="196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zh-CN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违法事实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45" w:rightChars="69" w:firstLine="640" w:firstLineChars="200"/>
        <w:textAlignment w:val="auto"/>
        <w:rPr>
          <w:rFonts w:hint="eastAsia" w:ascii="仿宋_GB2312" w:hAnsi="微软雅黑"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zh-CN" w:eastAsia="zh-CN"/>
        </w:rPr>
        <w:t>实地核查情况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45" w:rightChars="69" w:firstLine="640" w:firstLineChars="200"/>
        <w:textAlignment w:val="auto"/>
        <w:rPr>
          <w:rFonts w:hint="eastAsia" w:ascii="仿宋_GB2312" w:hAnsi="微软雅黑" w:eastAsia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检查人员到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公司注册登记地址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</w:rPr>
        <w:t>内蒙古自治区锡林郭勒盟阿巴嘎旗别力古台镇鑫源小区1号商住楼1单元107铺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开展实地调查，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</w:rPr>
        <w:t>该地址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</w:rPr>
        <w:t>为阿巴嘎旗都仁洗车服务店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其经营者为该商铺产权所有人，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</w:rPr>
        <w:t>阿巴嘎旗都仁洗车服务店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2025年4月至今未曾出租和出售过他人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</w:rPr>
        <w:t>。经检查人员电话联系，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公司登记的生产经营地联系电话、注册地联系电话、法定代表人电话、财务负责人电话、办税人电话均无法取得联系，提示电话空号、无法接通或拨通后无人接听。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楷体_GB2312" w:hAnsi="楷体_GB2312" w:eastAsia="楷体_GB2312" w:cs="楷体_GB2312"/>
          <w:spacing w:val="0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zh-CN" w:eastAsia="zh-CN"/>
        </w:rPr>
        <w:t>发票开具、取得情况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仿宋_GB2312" w:hAnsi="宋体" w:eastAsia="仿宋_GB2312" w:cs="仿宋_GB2312"/>
          <w:b w:val="0"/>
          <w:bCs/>
          <w:snapToGrid w:val="0"/>
          <w:kern w:val="0"/>
          <w:sz w:val="32"/>
          <w:szCs w:val="32"/>
          <w:highlight w:val="none"/>
          <w:lang w:eastAsia="zh-CN"/>
        </w:rPr>
        <w:t>你公司于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5月30日至7月21日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en-US" w:eastAsia="zh-CN"/>
        </w:rPr>
        <w:t>期间</w:t>
      </w:r>
      <w:r>
        <w:rPr>
          <w:rFonts w:hint="eastAsia" w:ascii="仿宋_GB2312" w:hAnsi="宋体" w:eastAsia="仿宋_GB2312" w:cs="仿宋_GB2312"/>
          <w:b w:val="0"/>
          <w:bCs/>
          <w:snapToGrid w:val="0"/>
          <w:kern w:val="0"/>
          <w:sz w:val="32"/>
          <w:szCs w:val="32"/>
          <w:highlight w:val="none"/>
          <w:lang w:eastAsia="zh-CN"/>
        </w:rPr>
        <w:t>向</w:t>
      </w:r>
      <w:r>
        <w:rPr>
          <w:rFonts w:hint="eastAsia" w:ascii="仿宋_GB2312" w:hAnsi="宋体" w:eastAsia="仿宋_GB2312" w:cs="仿宋_GB2312"/>
          <w:b w:val="0"/>
          <w:bCs/>
          <w:snapToGrid w:val="0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 w:cs="仿宋_GB2312"/>
          <w:b w:val="0"/>
          <w:bCs/>
          <w:snapToGrid w:val="0"/>
          <w:kern w:val="0"/>
          <w:sz w:val="32"/>
          <w:szCs w:val="32"/>
          <w:highlight w:val="none"/>
        </w:rPr>
        <w:t>户</w:t>
      </w:r>
      <w:r>
        <w:rPr>
          <w:rFonts w:hint="eastAsia" w:ascii="仿宋_GB2312" w:hAnsi="宋体" w:eastAsia="仿宋_GB2312" w:cs="仿宋_GB2312"/>
          <w:b w:val="0"/>
          <w:bCs/>
          <w:snapToGrid w:val="0"/>
          <w:kern w:val="0"/>
          <w:sz w:val="32"/>
          <w:szCs w:val="32"/>
          <w:highlight w:val="none"/>
          <w:lang w:val="zh-CN"/>
        </w:rPr>
        <w:t>购货方企业</w:t>
      </w:r>
      <w:r>
        <w:rPr>
          <w:rFonts w:hint="eastAsia" w:ascii="仿宋_GB2312" w:hAnsi="宋体" w:eastAsia="仿宋_GB2312" w:cs="仿宋_GB2312"/>
          <w:b w:val="0"/>
          <w:bCs/>
          <w:snapToGrid w:val="0"/>
          <w:kern w:val="0"/>
          <w:sz w:val="32"/>
          <w:szCs w:val="32"/>
          <w:highlight w:val="none"/>
        </w:rPr>
        <w:t>共开具增值税电子普通发票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098.98元，税额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69,181.02元，价税合计6,987,280.00元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en-US" w:eastAsia="zh-CN"/>
        </w:rPr>
        <w:t>。发票号码为：25152000000029089373、25152000000029169648、25152000000029093014、25152000000029094303、25152000000029094593、25152000000031179814、25152000000031451846、25152000000031452414、25152000000031455367、25152000000031698877、25152000000031699154、25152000000031699871、25152000000031700631、25152000000033263202、25152000000033263480、25152000000033263763、25152000000033264048、25152000000033325694、25152000000033326082、25152000000033326172、25152000000033326451、25152000000033326713、25152000000034702245、25152000000034721676、25152000000034730821、25152000000035554518、25152000000036771593、25152000000036772032、25152000000036772823、25152000000039718479、25152000000039719267、25152000000039930817、25152000000039930880、25152000000040230012、25152000000040670808、25152000000040670863、25152000000040670897、25152000000040670940、25152000000040671826、25152000000040</w:t>
      </w:r>
      <w:bookmarkStart w:id="0" w:name="_GoBack"/>
      <w:bookmarkEnd w:id="0"/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en-US" w:eastAsia="zh-CN"/>
        </w:rPr>
        <w:t>671944；</w:t>
      </w:r>
      <w:r>
        <w:rPr>
          <w:rFonts w:hint="eastAsia" w:ascii="仿宋_GB2312" w:hAnsi="仿宋" w:eastAsia="仿宋_GB2312" w:cs="Courier New"/>
          <w:bCs/>
          <w:kern w:val="0"/>
          <w:sz w:val="32"/>
          <w:szCs w:val="32"/>
          <w:highlight w:val="none"/>
          <w:lang w:val="zh-CN"/>
        </w:rPr>
        <w:t>经核查，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/>
        </w:rPr>
        <w:t>未取得任何购进发票。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楷体_GB2312" w:eastAsia="楷体_GB2312" w:cs="楷体_GB2312"/>
          <w:spacing w:val="0"/>
          <w:kern w:val="2"/>
          <w:sz w:val="32"/>
          <w:szCs w:val="32"/>
          <w:lang w:val="zh-CN" w:eastAsia="zh-CN" w:bidi="ar-SA"/>
        </w:rPr>
        <w:t>资金流情况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 w:bidi="ar-SA"/>
        </w:rPr>
        <w:t>在金税三期征管系统内未登记对公银行账号，经查询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 w:bidi="ar-SA"/>
        </w:rPr>
        <w:t>法定代表人、财务负责人、办税人的个人银行账户交易明细，从银行账户交易明细中未发现与下游受票企业的资金往来流水信息。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（四）纳税申报情况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145" w:rightChars="69" w:firstLine="640" w:firstLineChars="200"/>
        <w:jc w:val="both"/>
        <w:rPr>
          <w:rFonts w:hint="eastAsia" w:ascii="仿宋_GB2312" w:hAnsi="微软雅黑" w:eastAsia="仿宋_GB2312" w:cs="Times New Roman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微软雅黑" w:eastAsia="仿宋_GB2312" w:cs="Times New Roman"/>
          <w:sz w:val="32"/>
          <w:szCs w:val="32"/>
          <w:lang w:val="zh-CN" w:eastAsia="zh-CN"/>
        </w:rPr>
        <w:t>于2025年7月2日，申报了2025年4月1日至2025年6月30日属期的以下税费：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45" w:rightChars="69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zh-CN" w:eastAsia="zh-CN"/>
        </w:rPr>
        <w:t>增值税方面，申报销售收入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zh-CN" w:eastAsia="zh-CN"/>
        </w:rPr>
        <w:t>,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en-US" w:eastAsia="zh-CN"/>
        </w:rPr>
        <w:t>784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zh-CN" w:eastAsia="zh-CN"/>
        </w:rPr>
        <w:t>,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en-US" w:eastAsia="zh-CN"/>
        </w:rPr>
        <w:t>752.45元，应缴纳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增值税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47,847.55元，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应缴纳城市维护建设税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1,196.19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元,应缴纳教育费附加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717.71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元,应缴纳地方教育附加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478.47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元，应缴水利建设专项收入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239.24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元。企业所得税方面应缴纳企业所得税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300.00元。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合计应缴税费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50,779.16</w:t>
      </w:r>
      <w:r>
        <w:rPr>
          <w:rFonts w:hint="eastAsia" w:ascii="仿宋_GB2312" w:hAnsi="微软雅黑" w:eastAsia="仿宋_GB2312" w:cs="Times New Roman"/>
          <w:kern w:val="2"/>
          <w:sz w:val="32"/>
          <w:szCs w:val="32"/>
          <w:highlight w:val="none"/>
          <w:lang w:val="zh-CN" w:eastAsia="zh-CN" w:bidi="ar-SA"/>
        </w:rPr>
        <w:t>元。</w:t>
      </w:r>
      <w:r>
        <w:rPr>
          <w:rFonts w:hint="eastAsia" w:ascii="仿宋_GB2312" w:hAnsi="微软雅黑" w:eastAsia="仿宋_GB2312" w:cs="Times New Roman"/>
          <w:sz w:val="32"/>
          <w:szCs w:val="32"/>
          <w:highlight w:val="none"/>
          <w:lang w:val="zh-CN" w:eastAsia="zh-CN"/>
        </w:rPr>
        <w:t>以上税费款均未缴纳。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/>
        </w:rPr>
        <w:t>综上，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你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</w:rPr>
        <w:t>公司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/>
        </w:rPr>
        <w:t>注册地址虚假，企业人员失联，在成立后短期内集中开具发票，发票所载货物服务品类繁多，无资金往来记录，有销无进、进销不匹配，暴力虚开后走逃失联特征明显，故你单位</w:t>
      </w:r>
      <w:r>
        <w:rPr>
          <w:rFonts w:hint="eastAsia" w:ascii="仿宋_GB2312" w:hAnsi="宋体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在无真实业务发生的情况下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为他人开具与实际经营业务不符的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en-US" w:eastAsia="zh-CN"/>
        </w:rPr>
        <w:t>增值税电子普通发票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098.98元，税额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69,181.02元，价税合计6,987,280.00元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上述违法事实，主要有以下证据证明：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45" w:rightChars="69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 w:eastAsia="zh-CN" w:bidi="ar-SA"/>
        </w:rPr>
        <w:t>证据1：主管税务局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提供的纳税人基本信息、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涉嫌发票虚开报告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 w:eastAsia="zh-CN" w:bidi="ar-SA"/>
        </w:rPr>
        <w:t>、发票开具明细。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145" w:rightChars="69"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 w:eastAsia="zh-CN" w:bidi="ar-SA"/>
        </w:rPr>
        <w:t>证据2：</w:t>
      </w:r>
      <w:r>
        <w:rPr>
          <w:rFonts w:hint="eastAsia" w:ascii="仿宋_GB2312" w:hAnsi="宋体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税务登记实名认证信息截图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 w:bidi="ar-SA"/>
        </w:rPr>
        <w:t>、纳税申报表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en-US" w:eastAsia="zh-CN"/>
        </w:rPr>
        <w:t>增值税电子普通发票开具明细表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en-US" w:eastAsia="zh-CN"/>
        </w:rPr>
        <w:t>取得发票查询结果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；工商注册登记信息；虚假注册地址证明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zh-CN" w:eastAsia="zh-CN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zh-CN" w:eastAsia="zh-CN"/>
        </w:rPr>
        <w:t>证据3：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val="en-US" w:eastAsia="zh-CN"/>
        </w:rPr>
        <w:t>拨打注册登记电话录像、注册地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en-US" w:eastAsia="zh-CN"/>
        </w:rPr>
        <w:t>址实地调查录像、相关人员</w:t>
      </w:r>
      <w:r>
        <w:rPr>
          <w:rFonts w:hint="eastAsia" w:ascii="仿宋_GB2312" w:hAnsi="仿宋" w:eastAsia="仿宋_GB2312" w:cs="Courier New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银行账户资金流水</w:t>
      </w:r>
      <w:r>
        <w:rPr>
          <w:rFonts w:hint="eastAsia" w:ascii="仿宋_GB2312" w:hAnsi="仿宋" w:eastAsia="仿宋_GB2312" w:cs="Courier New"/>
          <w:b w:val="0"/>
          <w:bCs/>
          <w:kern w:val="0"/>
          <w:sz w:val="32"/>
          <w:szCs w:val="32"/>
          <w:highlight w:val="none"/>
          <w:lang w:val="en-US" w:eastAsia="zh-CN"/>
        </w:rPr>
        <w:t>信息。</w:t>
      </w:r>
    </w:p>
    <w:p>
      <w:pPr>
        <w:ind w:firstLine="630" w:firstLineChars="196"/>
        <w:rPr>
          <w:rFonts w:hint="eastAsia" w:ascii="仿宋_GB2312" w:hAnsi="仿宋_GB2312" w:eastAsia="仿宋_GB2312" w:cs="宋体"/>
          <w:kern w:val="0"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二、处理决定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根据《中华人民共和国发票管理办法》第二十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条第二款规定：“任何单位和个人不得有下列虚开发票行为：（一）为他人、为自己开具与实际经营业务不符的发票；”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上述违法事实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highlight w:val="none"/>
          <w:lang w:eastAsia="zh-CN"/>
        </w:rPr>
        <w:t>可以认定，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你公司</w:t>
      </w:r>
      <w:r>
        <w:rPr>
          <w:rFonts w:hint="eastAsia" w:ascii="仿宋_GB2312" w:hAnsi="宋体" w:eastAsia="仿宋_GB2312" w:cs="Courier New"/>
          <w:b w:val="0"/>
          <w:bCs/>
          <w:kern w:val="0"/>
          <w:sz w:val="32"/>
          <w:szCs w:val="32"/>
          <w:highlight w:val="none"/>
          <w:lang w:eastAsia="zh-CN"/>
        </w:rPr>
        <w:t>在无真实业务发生的情况下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为他人开具与实际经营业务不符的</w:t>
      </w:r>
      <w:r>
        <w:rPr>
          <w:rFonts w:hint="eastAsia" w:ascii="仿宋_GB2312" w:hAnsi="宋体" w:eastAsia="仿宋_GB2312" w:cs="Courier New"/>
          <w:bCs/>
          <w:color w:val="000000"/>
          <w:kern w:val="0"/>
          <w:sz w:val="32"/>
          <w:szCs w:val="32"/>
          <w:lang w:val="en-US" w:eastAsia="zh-CN"/>
        </w:rPr>
        <w:t>增值税电子普通发票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发票金额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098.98元，税额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69,181.02元，价税合计6,987,280.00元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根据《中华人民共和国刑法》第二百零五条之一“虚开本法第二百零五条规定以外的其他发票，情节严重的，处二年以下有期徒刑、拘役或者管制，并处罚金;情节特别严重的，处二年以上七年以下有期徒刑，并处罚金。”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《最高人民检察院、公安部关于公安机关管辖的刑事案件立案追诉标准的规定（二）》（公通字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highlight w:val="none"/>
        </w:rPr>
        <w:t>〔20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12号）第五十七条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虚开刑法第二百零五条规定以外的其他发票，涉嫌下列情形之一的，应予立案追诉：（一）虚开发票金额累计在五十万元以上的；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”、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《行政执法机关移送涉嫌犯罪案件的规定》（中华人民共和国国务院令第310号）第三条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“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</w:rPr>
        <w:t>行政执法机关在依法查处违法行为过程中，发现违法事实涉及的金额、违法事实的情节、违法事实造成的后果等，根据刑法关于破坏社会主义市场经济秩序罪、妨害社会管理秩序罪等罪的规定和最高人民法院、最高人民检察院关于破坏社会主义市场经济秩序罪、妨害社会管理秩序罪等罪的司法解释以及最高人民检察院、公安部关于经济犯罪案件的追诉标准等规定，涉嫌构成犯罪，依法需要追究刑事责任的，必须依照本规定向公安机关移送。”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eastAsia="zh-CN"/>
        </w:rPr>
        <w:t>之规定，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val="zh-CN" w:eastAsia="zh-CN"/>
        </w:rPr>
        <w:t>你公司上述虚开增值税电子普通发票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的违法事实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val="zh-CN"/>
        </w:rPr>
        <w:t>涉嫌犯罪且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val="zh-CN" w:eastAsia="zh-CN"/>
        </w:rPr>
        <w:t>达到移送标准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shd w:val="clear" w:color="auto" w:fill="FFFFFF"/>
          <w:lang w:val="zh-CN"/>
        </w:rPr>
        <w:t>，我局依法移送公安机关查处。</w:t>
      </w:r>
    </w:p>
    <w:p>
      <w:pPr>
        <w:adjustRightInd w:val="0"/>
        <w:spacing w:line="360" w:lineRule="auto"/>
        <w:ind w:firstLine="627" w:firstLineChars="196"/>
        <w:rPr>
          <w:rFonts w:hint="eastAsia" w:ascii="仿宋_GB2312" w:hAnsi="仿宋_GB2312" w:eastAsia="仿宋_GB2312"/>
          <w:sz w:val="32"/>
          <w:szCs w:val="21"/>
        </w:rPr>
      </w:pPr>
    </w:p>
    <w:p>
      <w:pPr>
        <w:adjustRightInd w:val="0"/>
        <w:spacing w:line="360" w:lineRule="auto"/>
        <w:ind w:firstLine="627" w:firstLineChars="196"/>
        <w:rPr>
          <w:rFonts w:hint="eastAsia" w:ascii="仿宋_GB2312" w:hAnsi="仿宋_GB2312" w:eastAsia="仿宋_GB2312"/>
          <w:sz w:val="32"/>
          <w:szCs w:val="21"/>
        </w:rPr>
      </w:pPr>
      <w:r>
        <w:rPr>
          <w:rFonts w:hint="eastAsia" w:ascii="仿宋_GB2312" w:hAnsi="仿宋_GB2312" w:eastAsia="仿宋_GB2312"/>
          <w:sz w:val="32"/>
          <w:szCs w:val="21"/>
        </w:rPr>
        <w:t>你</w:t>
      </w:r>
      <w:r>
        <w:rPr>
          <w:rFonts w:hint="eastAsia" w:ascii="仿宋_GB2312" w:hAnsi="仿宋_GB2312" w:eastAsia="仿宋_GB2312"/>
          <w:sz w:val="32"/>
          <w:szCs w:val="21"/>
          <w:lang w:eastAsia="zh-CN"/>
        </w:rPr>
        <w:t>公司</w:t>
      </w:r>
      <w:r>
        <w:rPr>
          <w:rFonts w:hint="eastAsia" w:ascii="仿宋_GB2312" w:hAnsi="仿宋_GB2312" w:eastAsia="仿宋_GB2312"/>
          <w:sz w:val="32"/>
          <w:szCs w:val="21"/>
        </w:rPr>
        <w:t>若同我局在纳税上有争议，可</w:t>
      </w:r>
      <w:r>
        <w:rPr>
          <w:rFonts w:hint="eastAsia" w:ascii="仿宋_GB2312" w:hAnsi="仿宋_GB2312" w:eastAsia="仿宋_GB2312"/>
          <w:sz w:val="32"/>
          <w:szCs w:val="21"/>
          <w:lang w:eastAsia="zh-CN"/>
        </w:rPr>
        <w:t>在收到本决定书</w:t>
      </w:r>
      <w:r>
        <w:rPr>
          <w:rFonts w:hint="eastAsia" w:ascii="仿宋_GB2312" w:hAnsi="仿宋_GB2312" w:eastAsia="仿宋_GB2312"/>
          <w:sz w:val="32"/>
          <w:szCs w:val="21"/>
        </w:rPr>
        <w:t>之日起六十日内依法向</w:t>
      </w:r>
      <w:r>
        <w:rPr>
          <w:rFonts w:hint="eastAsia" w:ascii="仿宋_GB2312" w:hAnsi="仿宋_GB2312" w:eastAsia="仿宋_GB2312"/>
          <w:bCs/>
          <w:sz w:val="32"/>
          <w:szCs w:val="21"/>
          <w:lang w:val="en-US" w:eastAsia="zh-CN"/>
        </w:rPr>
        <w:t>国家税务总局锡林郭勒盟税务局</w:t>
      </w:r>
      <w:r>
        <w:rPr>
          <w:rFonts w:hint="eastAsia" w:ascii="仿宋_GB2312" w:hAnsi="仿宋_GB2312" w:eastAsia="仿宋_GB2312"/>
          <w:sz w:val="32"/>
          <w:szCs w:val="21"/>
        </w:rPr>
        <w:t>申请行政复议。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z w:val="32"/>
        </w:rPr>
        <w:t>税务机关（印章）</w:t>
      </w:r>
    </w:p>
    <w:p>
      <w:pPr>
        <w:ind w:firstLine="3840" w:firstLineChars="1200"/>
        <w:jc w:val="right"/>
        <w:rPr>
          <w:highlight w:val="yellow"/>
        </w:rPr>
      </w:pPr>
      <w:r>
        <w:rPr>
          <w:rFonts w:hint="eastAsia" w:ascii="仿宋_GB2312" w:hAnsi="仿宋" w:eastAsia="仿宋_GB2312"/>
          <w:sz w:val="32"/>
          <w:highlight w:val="none"/>
          <w:lang w:eastAsia="zh-CN"/>
        </w:rPr>
        <w:t>二Ｏ二五年十一月</w:t>
      </w:r>
      <w:r>
        <w:rPr>
          <w:rFonts w:hint="eastAsia" w:ascii="仿宋_GB2312" w:hAnsi="仿宋" w:eastAsia="仿宋_GB2312"/>
          <w:color w:val="auto"/>
          <w:sz w:val="32"/>
          <w:highlight w:val="none"/>
          <w:lang w:eastAsia="zh-CN"/>
        </w:rPr>
        <w:t>六</w:t>
      </w:r>
      <w:r>
        <w:rPr>
          <w:rFonts w:hint="eastAsia" w:ascii="仿宋_GB2312" w:hAnsi="仿宋" w:eastAsia="仿宋_GB2312"/>
          <w:sz w:val="32"/>
          <w:highlight w:val="none"/>
          <w:lang w:eastAsia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</w:rPr>
    </w:pPr>
    <w:r>
      <w:rPr>
        <w:rFonts w:hint="eastAsia" w:ascii="仿宋_GB2312" w:eastAsia="仿宋_GB2312"/>
        <w:kern w:val="0"/>
        <w:szCs w:val="21"/>
      </w:rPr>
      <w:t xml:space="preserve">第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PAGE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hint="eastAsia" w:ascii="仿宋_GB2312" w:eastAsia="仿宋_GB2312"/>
        <w:kern w:val="0"/>
        <w:szCs w:val="21"/>
      </w:rPr>
      <w:t>1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 共 </w:t>
    </w:r>
    <w:r>
      <w:rPr>
        <w:rFonts w:hint="eastAsia" w:ascii="仿宋_GB2312" w:eastAsia="仿宋_GB2312"/>
        <w:kern w:val="0"/>
        <w:szCs w:val="21"/>
      </w:rPr>
      <w:fldChar w:fldCharType="begin"/>
    </w:r>
    <w:r>
      <w:rPr>
        <w:rFonts w:hint="eastAsia" w:ascii="仿宋_GB2312" w:eastAsia="仿宋_GB2312"/>
        <w:kern w:val="0"/>
        <w:szCs w:val="21"/>
      </w:rPr>
      <w:instrText xml:space="preserve"> NUMPAGES </w:instrText>
    </w:r>
    <w:r>
      <w:rPr>
        <w:rFonts w:hint="eastAsia" w:ascii="仿宋_GB2312" w:eastAsia="仿宋_GB2312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3</w:t>
    </w:r>
    <w:r>
      <w:rPr>
        <w:rFonts w:hint="eastAsia" w:ascii="仿宋_GB2312" w:eastAsia="仿宋_GB2312"/>
        <w:kern w:val="0"/>
        <w:szCs w:val="21"/>
      </w:rPr>
      <w:fldChar w:fldCharType="end"/>
    </w:r>
    <w:r>
      <w:rPr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35D73332"/>
    <w:multiLevelType w:val="singleLevel"/>
    <w:tmpl w:val="35D733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3CB8"/>
    <w:rsid w:val="01FB2445"/>
    <w:rsid w:val="06243C37"/>
    <w:rsid w:val="0F607A0D"/>
    <w:rsid w:val="10FC788C"/>
    <w:rsid w:val="16EB7A9F"/>
    <w:rsid w:val="18374C25"/>
    <w:rsid w:val="1BC86699"/>
    <w:rsid w:val="1E6A46E3"/>
    <w:rsid w:val="1EE434B3"/>
    <w:rsid w:val="2218544C"/>
    <w:rsid w:val="27AF5ABB"/>
    <w:rsid w:val="28AE10BE"/>
    <w:rsid w:val="2E357A6C"/>
    <w:rsid w:val="32E1285E"/>
    <w:rsid w:val="342D5F22"/>
    <w:rsid w:val="36DE64BC"/>
    <w:rsid w:val="3DDB18E6"/>
    <w:rsid w:val="3EEF6C07"/>
    <w:rsid w:val="429514C1"/>
    <w:rsid w:val="48863458"/>
    <w:rsid w:val="49EA5960"/>
    <w:rsid w:val="4A596B6C"/>
    <w:rsid w:val="4AFD74A9"/>
    <w:rsid w:val="4B383E12"/>
    <w:rsid w:val="4C143EFC"/>
    <w:rsid w:val="521A68A5"/>
    <w:rsid w:val="52D66240"/>
    <w:rsid w:val="58DD1D0E"/>
    <w:rsid w:val="599A27D2"/>
    <w:rsid w:val="60F11C50"/>
    <w:rsid w:val="616C73DD"/>
    <w:rsid w:val="62F94B0F"/>
    <w:rsid w:val="64370CD2"/>
    <w:rsid w:val="65506FB4"/>
    <w:rsid w:val="667E3C7E"/>
    <w:rsid w:val="6B2A6AD6"/>
    <w:rsid w:val="72697BD6"/>
    <w:rsid w:val="742F3F39"/>
    <w:rsid w:val="7445022B"/>
    <w:rsid w:val="7543067C"/>
    <w:rsid w:val="76647136"/>
    <w:rsid w:val="767832EE"/>
    <w:rsid w:val="77157F92"/>
    <w:rsid w:val="775675F7"/>
    <w:rsid w:val="7C0B67A9"/>
    <w:rsid w:val="7DB05C5D"/>
    <w:rsid w:val="7F474C54"/>
    <w:rsid w:val="7F51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table of authorities"/>
    <w:basedOn w:val="1"/>
    <w:next w:val="1"/>
    <w:qFormat/>
    <w:uiPriority w:val="0"/>
    <w:pPr>
      <w:ind w:left="0" w:leftChar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8">
    <w:name w:val="UserStyle_0"/>
    <w:basedOn w:val="1"/>
    <w:qFormat/>
    <w:uiPriority w:val="0"/>
    <w:pPr>
      <w:spacing w:line="660" w:lineRule="exact"/>
      <w:ind w:firstLine="720" w:firstLineChars="200"/>
      <w:textAlignment w:val="baseline"/>
    </w:pPr>
    <w:rPr>
      <w:rFonts w:eastAsia="楷体_GB2312"/>
      <w:sz w:val="36"/>
      <w:szCs w:val="36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hover"/>
    <w:basedOn w:val="7"/>
    <w:qFormat/>
    <w:uiPriority w:val="0"/>
  </w:style>
  <w:style w:type="character" w:customStyle="1" w:styleId="11">
    <w:name w:val="hover1"/>
    <w:basedOn w:val="7"/>
    <w:qFormat/>
    <w:uiPriority w:val="0"/>
  </w:style>
  <w:style w:type="character" w:customStyle="1" w:styleId="12">
    <w:name w:val="red2"/>
    <w:basedOn w:val="7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13">
    <w:name w:val="tree-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2023-09-27T01:08:00Z</dcterms:created>
  <dc:creator>Administrator</dc:creator>
  <cp:lastModifiedBy>张自强</cp:lastModifiedBy>
  <cp:lastPrinted>2025-11-10T01:08:00Z</cp:lastPrinted>
  <dcterms:modified xsi:type="dcterms:W3CDTF">2025-11-10T02:06:36Z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